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4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22"/>
              </w:rPr>
              <w:t>ANHANG D</w:t>
            </w:r>
          </w:p>
        </w:tc>
      </w:tr>
      <w:tr>
        <w:trPr/>
        <w:tc>
          <w:tcPr>
            <w:tcW w:w="9865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E8EEF4" w:val="clear"/>
            <w:tcMar>
              <w:bottom w:w="80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36"/>
              </w:rPr>
              <w:t>Bestandsfortschreibung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Ein Los ist eine steuerliche Dokumentationseinheit, nicht zwingend eine UTXO oder Importzeile. Gleiche Ticker nicht zusammenwerfen. Fristprüfung und Wertermittlung getrennt. Kein Jahresendkurs als neue AK.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D.1 Kopf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Steuerjahr / Person / Bereich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Privat  ☐ Betrieb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Token / Ticker / Chain / Contract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Wallet / Verwahrungseinheit / Quellen-ID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Tool / Version / Stand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D.2 Abgrenzung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 Tokenart und Contract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 Verwahrungseinheit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individuelle Lose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Adressen begründet zusammengefasst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Unterkonten gesondert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privat / betrieblich getrennt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Empfangs- / LP- / Wrap-Token nicht mit Ursprung verschmolzen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D.3 Methode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individuelle Zuordnung möglich und verwendet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nur teilweise möglich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möglich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Verwendungsreihenfolge nach Verwaltungsauffassung geprüft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FiFo-Vereinfachung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Methode offen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AK-Methode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tatsächliche AK des Loses  ☐ Durchschnitt (Vw)  ☐ FiFo-Vereinfachung  ☐ Fork-Aufteilung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Beginn der Methode / Restbestand aus alter Methode?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ja  ☐ nein  ☐ nicht feststellbar → dann keine neue Methode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Eine Durchschnittsmethode beantwortet nicht allein, welche Anschaffung für die Frist maßgeblich ist.</w:t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D.4 Anfangsbestand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Stichtag / Gesamtmenge / Zahl der Lose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Quelle Vorjahr / Verweis Vorjahresakte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Menge = Vorjahresschluss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Daten und AK unverändert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Rewards / Airdrops eigene Lose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DeFi-Positionen fortgeführt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Abweichung erklärt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D.5 Stammdaten eines Loses (je Los wiederholen)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Los-ID / Token / Wallet / Quellen-ID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Zugangsgrund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Kauf  ☐ Tausch  ☐ Reward  ☐ Mining  ☐ unentgeltlich  ☐ Fork  ☐ Airdrop  ☐ Transfer  ☐ Migration  ☐ Rückgewähr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Technisches Zugangsdatum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Steuerlicher Anschaffungs- / Fortführungszeitpunkt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Ursprungsmenge / AK gesamt / AK je Einheit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Euro-Wert im Zufluss, soweit einschlägig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Vorgänger-Los / Vorgangs-ID Anhang B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D.6 Zugangskontrolle</w:t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Anschaffungsvorgang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Tauschposition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Vergütung mit eigenem Zeitpunkt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eigener Transfer → Historie fortführen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unentgeltlich → Vorgängerhistorie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Hard Fork → Zeitpunkt des Ursprungsloses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technischer Eingang nicht ungeprüft = Kauf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D.7 Bewegungen</w:t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Bewegung 1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Bewegungs-ID / Datum / Vorgangs-ID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Zugang  ☐ Teilverkauf  ☐ Verkauf  ☐ Tauschabgang  ☐ Transfer  ☐ Schenkung  ☐ Gebühr  ☐ Fork  ☐ Migration  ☐ Wiedererlangung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Menge vor / zu / ab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vor / dem Abgang zugeordnet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Verwahrungsort vor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Fortführung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Los fortgeführt  ☐ geteilt  ☐ Rest im Los  ☐ neues Los  ☐ Historie am Ziel  ☐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Bewegung 2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Bewegungs-ID / Datum / Vorgangs-ID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Zugang  ☐ Teilverkauf  ☐ Verkauf  ☐ Tauschabgang  ☐ Transfer  ☐ Schenkung  ☐ Gebühr  ☐ Fork  ☐ Migration  ☐ Wiedererlangung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Menge vor / zu / ab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vor / dem Abgang zugeordnet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Verwahrungsort vor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Fortführung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Los fortgeführt  ☐ geteilt  ☐ Rest im Los  ☐ neues Los  ☐ Historie am Ziel  ☐ offen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Weitere Bewegungen auf Anlage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Keine weiteren Bewegungen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D.8 Teilveräußerung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Los-ID / Menge vor / veräußert / Rest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vor / dem Abgang / Rest-AK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Mengenrechnung stimmt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nur anteilig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Rest behält Anschaffungsdatum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mit Anhang B verbunden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D.9 Eigener Transfer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Von Quellen-ID / Wallet  →  nach Quellen-ID / Wallet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Hash / Brutto / Netto / Gebühr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Übertragene Los-IDs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technisch verbunden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gleicher Rechtsträger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Zeitpunkt und AK fortgeführt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fiktiver Kauf am Ziel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Lose im Zielbestand unterscheidbar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  <w:tcMar>
              <w:top w:w="0" w:type="dxa"/>
              <w:start w:w="108" w:type="dxa"/>
              <w:bottom w:w="0" w:type="dxa"/>
              <w:end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D.10 Rewards und neue Zugänge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Vorgangs-ID / Art / Zeitpunkt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Brutto / Provision / Netto / Euro-Wert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 neues Los / neue Los-ID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Zufluss und spätere Veräußerung getrennt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nicht in älteres Stake-Los eingerechnet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Auto-Compound als eigener Vorgang geprüft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Claiming nicht doppelt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D.11 Unentgeltlicher Erwerb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Art / Rechtsvorgänger / Datum / Menge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Schenkung  ☐ Erbschaft  ☐ sonst  ☐ offen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Ursprüngliches Datum und AK des Vorgängers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Schenkungs- oder Erbtag ersetzt nicht das Anschaffungsdatum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Stichtagswert ersetzt nicht die AK</w:t>
            </w:r>
          </w:p>
        </w:tc>
      </w:tr>
      <w:tr>
        <w:trPr/>
        <w:tc>
          <w:tcPr>
            <w:tcW w:w="9865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ErbSt / SchenkSt gesondert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D.12 Hard Fork</w:t>
      </w:r>
    </w:p>
    <w:tbl>
      <w:tblPr>
        <w:tblW w:w="9865" w:type="dxa"/>
        <w:jc w:val="start"/>
        <w:tblInd w:w="115" w:type="dxa"/>
        <w:tblLayout w:type="fixed"/>
        <w:tblCellMar>
          <w:top w:w="80" w:type="dxa"/>
          <w:start w:w="120" w:type="dxa"/>
          <w:bottom w:w="80" w:type="dxa"/>
          <w:end w:w="120" w:type="dxa"/>
        </w:tblCellMar>
        <w:tblLook w:val="04a0" w:firstRow="1" w:noVBand="1" w:lastRow="0" w:firstColumn="1" w:lastColumn="0" w:noHBand="0"/>
      </w:tblPr>
      <w:tblGrid>
        <w:gridCol w:w="9865"/>
      </w:tblGrid>
      <w:tr>
        <w:trPr/>
        <w:tc>
          <w:tcPr>
            <w:tcW w:w="9865" w:type="dxa"/>
            <w:tcBorders>
              <w:top w:val="single" w:sz="4" w:space="0" w:color="D4CBB8"/>
              <w:start w:val="single" w:sz="4" w:space="0" w:color="D4CBB8"/>
              <w:bottom w:val="single" w:sz="4" w:space="0" w:color="D4CBB8"/>
              <w:end w:val="single" w:sz="4" w:space="0" w:color="D4CBB8"/>
            </w:tcBorders>
            <w:shd w:fill="F4F1E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/>
                <w:color w:val="4A5568"/>
                <w:sz w:val="20"/>
              </w:rPr>
              <w:t>Nur der im Buch dargestellte private Hard-Fork-Fall der Verwaltungsauffassung. Nicht auf Airdrop, Migration oder Empfangstoken übertragen.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Ursprungs-Los / Fork-Zeitpunkt / Mengen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Marktwerte im Fork-Zeitpunkt (alt / neu)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AK-Aufteilung alt / neu / Anschaffungsdatum beider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Neue Los-ID Fork-Position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Aufteilung nach Kursverhältnis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Fantasiekurs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AK nicht verdoppelt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Snapshot und erster Handelstag unterschieden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D.13 Migration, Wrapping, technische Fortführung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Ausgangs-Los / erhaltene Position / Datum / Verhältnis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Rechte vor / nach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Behandlung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Historie fortgeführt  ☐ neues Los  ☐ Hin- und Rückweg getrennt  ☐ Hilfsrechnung  ☐ offen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Calibri"/>
          <w:b w:val="false"/>
          <w:i/>
          <w:color w:val="222222"/>
          <w:sz w:val="20"/>
        </w:rPr>
        <w:t>Gleicher Ticker beweist keine Fortführung. Neuer Contract beweist keinen Tausch.</w:t>
      </w:r>
    </w:p>
    <w:p>
      <w:pPr>
        <w:pStyle w:val="Normal"/>
        <w:spacing w:before="240" w:after="120"/>
        <w:rPr/>
      </w:pPr>
      <w:r>
        <w:rPr>
          <w:rFonts w:eastAsia="Calibri"/>
          <w:b/>
          <w:i w:val="false"/>
          <w:color w:val="1B2A4A"/>
          <w:sz w:val="26"/>
        </w:rPr>
        <w:t>D.14 Schlussbestand</w:t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Stichtag / Menge Fortschreibung / Menge Kontrolle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Offene Lose / Summe fortgeführter AK / Differenz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>
                <w:rFonts w:ascii="Calibri" w:hAnsi="Calibri" w:eastAsia="Calibri"/>
                <w:b w:val="false"/>
                <w:i w:val="false"/>
                <w:color w:val="4A5568"/>
                <w:sz w:val="20"/>
              </w:rPr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tbl>
      <w:tblPr>
        <w:tblW w:w="9864" w:type="dxa"/>
        <w:jc w:val="start"/>
        <w:tblInd w:w="10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2040"/>
        <w:gridCol w:w="2041"/>
        <w:gridCol w:w="2891"/>
        <w:gridCol w:w="2892"/>
      </w:tblGrid>
      <w:tr>
        <w:trPr/>
        <w:tc>
          <w:tcPr>
            <w:tcW w:w="2040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Los-ID</w:t>
            </w:r>
          </w:p>
        </w:tc>
        <w:tc>
          <w:tcPr>
            <w:tcW w:w="2041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Restmenge</w:t>
            </w:r>
          </w:p>
        </w:tc>
        <w:tc>
          <w:tcPr>
            <w:tcW w:w="2891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Anschaffungsdatum</w:t>
            </w:r>
          </w:p>
        </w:tc>
        <w:tc>
          <w:tcPr>
            <w:tcW w:w="2892" w:type="dxa"/>
            <w:tcBorders>
              <w:top w:val="single" w:sz="4" w:space="0" w:color="1B2A4A"/>
              <w:start w:val="single" w:sz="4" w:space="0" w:color="1B2A4A"/>
              <w:bottom w:val="single" w:sz="4" w:space="0" w:color="1B2A4A"/>
              <w:end w:val="single" w:sz="4" w:space="0" w:color="1B2A4A"/>
            </w:tcBorders>
            <w:shd w:fill="1B2A4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FFFFFF"/>
                <w:sz w:val="18"/>
              </w:rPr>
              <w:t>Anschaffungskosten</w:t>
            </w:r>
          </w:p>
        </w:tc>
      </w:tr>
      <w:tr>
        <w:trPr/>
        <w:tc>
          <w:tcPr>
            <w:tcW w:w="204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04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2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04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2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04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2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04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2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2040" w:type="dxa"/>
            <w:tcBorders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041" w:type="dxa"/>
            <w:tcBorders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1" w:type="dxa"/>
            <w:tcBorders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  <w:tc>
          <w:tcPr>
            <w:tcW w:w="2892" w:type="dxa"/>
            <w:tcBorders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</w:r>
      <w:r>
        <w:br w:type="page"/>
      </w:r>
    </w:p>
    <w:p>
      <w:pPr>
        <w:pStyle w:val="Normal"/>
        <w:spacing w:before="240" w:after="120"/>
        <w:rPr>
          <w:rFonts w:ascii="Calibri" w:hAnsi="Calibri" w:eastAsia="Calibri"/>
          <w:b/>
          <w:i w:val="false"/>
          <w:color w:val="1B2A4A"/>
          <w:sz w:val="26"/>
        </w:rPr>
      </w:pPr>
      <w:r>
        <w:rPr>
          <w:rFonts w:eastAsia="Calibri"/>
          <w:b/>
          <w:i w:val="false"/>
          <w:color w:val="1B2A4A"/>
          <w:sz w:val="26"/>
        </w:rPr>
        <w:t>D.15 Folgejahr und Abschluss</w:t>
      </w:r>
    </w:p>
    <w:tbl>
      <w:tblPr>
        <w:tblW w:w="9864" w:type="dxa"/>
        <w:jc w:val="start"/>
        <w:tblInd w:w="55" w:type="dxa"/>
        <w:tblLayout w:type="fixed"/>
        <w:tblCellMar>
          <w:top w:w="40" w:type="dxa"/>
          <w:start w:w="60" w:type="dxa"/>
          <w:bottom w:w="40" w:type="dxa"/>
          <w:end w:w="60" w:type="dxa"/>
        </w:tblCellMar>
        <w:tblLook w:val="04a0" w:firstRow="1" w:noVBand="1" w:lastRow="0" w:firstColumn="1" w:lastColumn="0" w:noHBand="0"/>
      </w:tblPr>
      <w:tblGrid>
        <w:gridCol w:w="4932"/>
        <w:gridCol w:w="4932"/>
      </w:tblGrid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Schluss = Anfang Folgejahr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Datum und AK je Los erhalten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Toolwechsel als Kauf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Jahresendkurs als AK</w:t>
            </w:r>
          </w:p>
        </w:tc>
      </w:tr>
      <w:tr>
        <w:trPr/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offene Fragen übertragen</w:t>
            </w:r>
          </w:p>
        </w:tc>
        <w:tc>
          <w:tcPr>
            <w:tcW w:w="4932" w:type="dxa"/>
            <w:tcBorders>
              <w:top w:val="single" w:sz="4" w:space="0" w:color="E2E6EA"/>
              <w:start w:val="single" w:sz="4" w:space="0" w:color="E2E6EA"/>
              <w:bottom w:val="single" w:sz="4" w:space="0" w:color="E2E6EA"/>
              <w:end w:val="single" w:sz="4" w:space="0" w:color="E2E6EA"/>
            </w:tcBorders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sz w:val="20"/>
              </w:rPr>
              <w:t xml:space="preserve">☐  </w:t>
            </w:r>
            <w:r>
              <w:rPr>
                <w:rFonts w:eastAsia="Calibri"/>
                <w:b w:val="false"/>
                <w:i w:val="false"/>
                <w:sz w:val="20"/>
              </w:rPr>
              <w:t>kein fiktiver Anfangsbestand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865" w:type="dxa"/>
        <w:jc w:val="start"/>
        <w:tblInd w:w="75" w:type="dxa"/>
        <w:tblLayout w:type="fixed"/>
        <w:tblCellMar>
          <w:top w:w="60" w:type="dxa"/>
          <w:start w:w="80" w:type="dxa"/>
          <w:bottom w:w="60" w:type="dxa"/>
          <w:end w:w="80" w:type="dxa"/>
        </w:tblCellMar>
        <w:tblLook w:val="04a0" w:firstRow="1" w:noVBand="1" w:lastRow="0" w:firstColumn="1" w:lastColumn="0" w:noHBand="0"/>
      </w:tblPr>
      <w:tblGrid>
        <w:gridCol w:w="3514"/>
        <w:gridCol w:w="6351"/>
      </w:tblGrid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E8EEF4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Gesamtstatus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FFFFF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 xml:space="preserve">☐ </w:t>
            </w: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fortgeschrieben  ☐ mit Differenz verwendbar  ☐ Methode offen  ☐ Rekonstruktion  ☐ Beratung</w:t>
            </w:r>
          </w:p>
        </w:tc>
      </w:tr>
      <w:tr>
        <w:trPr>
          <w:cantSplit/>
        </w:trPr>
        <w:tc>
          <w:tcPr>
            <w:tcW w:w="3514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4F6F8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/>
                <w:i w:val="false"/>
                <w:color w:val="1B2A4A"/>
                <w:sz w:val="20"/>
              </w:rPr>
              <w:t>Bearbeiter / Datum</w:t>
            </w:r>
          </w:p>
        </w:tc>
        <w:tc>
          <w:tcPr>
            <w:tcW w:w="6351" w:type="dxa"/>
            <w:tcBorders>
              <w:top w:val="single" w:sz="4" w:space="0" w:color="C5CDD6"/>
              <w:start w:val="single" w:sz="4" w:space="0" w:color="C5CDD6"/>
              <w:bottom w:val="single" w:sz="4" w:space="0" w:color="C5CDD6"/>
              <w:end w:val="single" w:sz="4" w:space="0" w:color="C5CDD6"/>
            </w:tcBorders>
            <w:shd w:fill="F7F8FA" w:val="clear"/>
          </w:tcPr>
          <w:p>
            <w:pPr>
              <w:pStyle w:val="Normal"/>
              <w:widowControl/>
              <w:bidi w:val="0"/>
              <w:spacing w:lineRule="auto" w:line="259" w:before="0" w:after="80"/>
              <w:jc w:val="start"/>
              <w:rPr/>
            </w:pPr>
            <w:r>
              <w:rPr>
                <w:rFonts w:eastAsia="Calibri"/>
                <w:b w:val="false"/>
                <w:i w:val="false"/>
                <w:color w:val="4A5568"/>
                <w:sz w:val="20"/>
              </w:rPr>
              <w:t>________________________________</w:t>
            </w:r>
          </w:p>
        </w:tc>
      </w:tr>
    </w:tbl>
    <w:p>
      <w:pPr>
        <w:pStyle w:val="Normal"/>
        <w:widowControl/>
        <w:bidi w:val="0"/>
        <w:spacing w:lineRule="auto" w:line="259" w:before="0" w:after="80"/>
        <w:jc w:val="star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20" w:right="1020" w:gutter="0" w:header="397" w:top="907" w:footer="397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D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>
        <w:rFonts w:eastAsia="Calibri"/>
        <w:b w:val="false"/>
        <w:i w:val="false"/>
        <w:color w:val="4A5568"/>
        <w:sz w:val="18"/>
      </w:rPr>
      <w:t xml:space="preserve">Anhang D  ·  Keine steuerliche Beratung  ·  Seite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r>
      <w:rPr>
        <w:rFonts w:eastAsia="Calibri"/>
        <w:b w:val="false"/>
        <w:i w:val="false"/>
        <w:color w:val="4A5568"/>
        <w:sz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start"/>
      <w:rPr/>
    </w:pPr>
    <w:r>
      <w:rPr>
        <w:rFonts w:eastAsia="Calibri"/>
        <w:b w:val="false"/>
        <w:i w:val="false"/>
        <w:color w:val="4A5568"/>
        <w:sz w:val="18"/>
      </w:rPr>
      <w:t>Krypto-Steuern in Deutschland  ·  Arbeitsblatt  ·  Stand September 2026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59" w:before="0" w:after="80"/>
      <w:jc w:val="start"/>
    </w:pPr>
    <w:rPr>
      <w:rFonts w:ascii="Calibri" w:hAnsi="Calibri" w:eastAsia="ＭＳ 明朝" w:cs=""/>
      <w:color w:val="1A1A1A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8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Verzeichnis">
    <w:name w:val="Verzeichnis"/>
    <w:basedOn w:val="Normal"/>
    <w:qFormat/>
    <w:pPr>
      <w:suppressLineNumbers/>
    </w:pPr>
    <w:rPr>
      <w:rFonts w:cs="Lucida Sans"/>
    </w:rPr>
  </w:style>
  <w:style w:type="paragraph" w:styleId="Kopf-Fuzeile">
    <w:name w:val="Kopf-/Fußzeile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star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8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8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8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8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8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8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8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8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8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star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berschrift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ns0:Properties xmlns:ns0="http://schemas.openxmlformats.org/officeDocument/2006/extended-properties">
  <ns0:Template>Normal.dotm</ns0:Template>
  <ns0:TotalTime>3</ns0:TotalTime>
  <ns0:Application>LibreOffice/26.2.5.2$Windows_X86_64 LibreOffice_project/cd7284b4cbbfeb507e630c1aac019f4157393acb</ns0:Application>
  <ns0:AppVersion>15.0000</ns0:AppVersion>
  <ns0:Pages>6</ns0:Pages>
  <ns0:Words>797</ns0:Words>
  <ns0:Characters>4448</ns0:Characters>
  <ns0:CharactersWithSpaces>5224</ns0:CharactersWithSpaces>
  <ns0:Paragraphs>142</ns0:Paragraphs>
  <ns0:Company>Nexaplex</ns0:Company>
  <ns0:Manager>Michael Schütz</ns0:Manager>
</ns0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2026-09-01T00:00:00Z</dcterms:created>
  <dc:creator>Michael Schütz</dc:creator>
  <dc:description>Arbeitsblatt zum Buch. Keine steuerliche Beratung. © 2026 Michael Schütz. Alle Rechte vorbehalten.</dc:description>
  <dc:language>de-DE</dc:language>
  <cp:lastModifiedBy>Michael Schütz</cp:lastModifiedBy>
  <dcterms:modified xsi:type="dcterms:W3CDTF">2026-09-13T11:59:53Z</dcterms:modified>
  <cp:revision>3</cp:revision>
  <dc:subject>Krypto-Steuern in Deutschland · Krypto Praxis · Band 1</dc:subject>
  <dc:title>Anhang D — Bestandsfortschreibung</dc:title>
  <cp:keywords>Krypto, Steuern, Jahrescheckliste, Nexaplex, Krypto Praxis</cp:keywords>
  <cp:category>Arbeitsblatt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© 2026 Michael Schütz. Alle Rechte vorbehalten.</vt:lpwstr>
  </property>
  <property fmtid="{D5CDD505-2E9C-101B-9397-08002B2CF9AE}" pid="3" name="Company">
    <vt:lpwstr>Nexaplex</vt:lpwstr>
  </property>
</Properties>
</file>