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65" w:type="dxa"/>
        <w:jc w:val="start"/>
        <w:tblInd w:w="115" w:type="dxa"/>
        <w:tblLayout w:type="fixed"/>
        <w:tblCellMar>
          <w:top w:w="80" w:type="dxa"/>
          <w:start w:w="120" w:type="dxa"/>
          <w:bottom w:w="40" w:type="dxa"/>
          <w:end w:w="12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1B2A4A"/>
              <w:start w:val="single" w:sz="4" w:space="0" w:color="1B2A4A"/>
              <w:bottom w:val="single" w:sz="4" w:space="0" w:color="1B2A4A"/>
              <w:end w:val="single" w:sz="4" w:space="0" w:color="1B2A4A"/>
            </w:tcBorders>
            <w:shd w:fill="1B2A4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FFFFFF"/>
                <w:sz w:val="22"/>
              </w:rPr>
              <w:t>ANHANG E</w:t>
            </w:r>
          </w:p>
        </w:tc>
      </w:tr>
      <w:tr>
        <w:trPr/>
        <w:tc>
          <w:tcPr>
            <w:tcW w:w="9865" w:type="dxa"/>
            <w:tcBorders>
              <w:top w:val="single" w:sz="4" w:space="0" w:color="1B2A4A"/>
              <w:start w:val="single" w:sz="4" w:space="0" w:color="1B2A4A"/>
              <w:bottom w:val="single" w:sz="4" w:space="0" w:color="1B2A4A"/>
              <w:end w:val="single" w:sz="4" w:space="0" w:color="1B2A4A"/>
            </w:tcBorders>
            <w:shd w:fill="E8EEF4" w:val="clear"/>
            <w:tcMar>
              <w:bottom w:w="8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36"/>
              </w:rPr>
              <w:t>Dokumentationsblatt DeFi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115" w:type="dxa"/>
        <w:tblLayout w:type="fixed"/>
        <w:tblCellMar>
          <w:top w:w="80" w:type="dxa"/>
          <w:start w:w="120" w:type="dxa"/>
          <w:bottom w:w="80" w:type="dxa"/>
          <w:end w:w="12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D4CBB8"/>
              <w:start w:val="single" w:sz="4" w:space="0" w:color="D4CBB8"/>
              <w:bottom w:val="single" w:sz="4" w:space="0" w:color="D4CBB8"/>
              <w:end w:val="single" w:sz="4" w:space="0" w:color="D4CBB8"/>
            </w:tcBorders>
            <w:shd w:fill="F4F1E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/>
                <w:color w:val="4A5568"/>
                <w:sz w:val="20"/>
              </w:rPr>
              <w:t>Eine wirtschaftliche Ereigniskette, nicht jeder interne Contract-Aufruf. Keine Regel „DeFi = Tausch“. IX R 3/22 nicht ungeprüft auf Vaults oder LP-Token übertragen. Claiming-Nichtbeanstandung nur für passives Staking.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E.1 Identifikation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Fall-ID / Jahr / Person / Bereich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Kurzbezeichnung / Protokoll / Chain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Beginn / Ende der Kette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Status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Daten vollständig  ☐ Daten lückenhaft  ☐ Einordnung fertig  ☐ Einordnung offen  ☐ Beratung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Quellen-IDs (C) / Vorgangs-IDs (B)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E.2 Beschreibung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Bezeichnung der Oberfläche / eigene Beschreibung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Tausch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Liquidität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Überlassung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Besicherung / Kredit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Staking / Restaking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Wrap / Bridge / Migration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Vault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Stablecoin-Mint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NFT-Position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Vergütung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Zweck offen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Der Zweck beschreibt den Sachverhalt, nicht die Einkunftsart.</w:t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E.3 Protokollfassung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Protokoll / Version / Website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Haupt-Contract / weitere Contracts / Router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Oracle / Governance, soweit relevant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Gesicherte Fassung vom / Datei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Später geänderte Docs nicht ungeprüft als Beleg für den Transaktionstag verwenden.</w:t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E.4 Zustand vorher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Stichtag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Position 1: Token / Menge / Wallet / Los / Datum / AK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Position 2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Weitere Rechte / Schulden / wer konnte verfügen / Risiken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E.5 Technische Schritte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Schritt 1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Zeit / Hash / Funktion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Bezeichnung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Approval  ☐ Deposit  ☐ Add LP  ☐ Swap  ☐ Mint  ☐ Stake  ☐ Claim  ☐ Harvest  ☐ Compound  ☐ Redeem  ☐ Bridge  ☐ Burn  ☐ Liquidation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abgegeben / erhalten / Gebühr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wirtschaftliche Veränderung dieses Schritts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Schritt 2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Zeit / Hash / Funktion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Bezeichnung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Approval  ☐ Deposit  ☐ Add LP  ☐ Swap  ☐ Mint  ☐ Stake  ☐ Claim  ☐ Harvest  ☐ Compound  ☐ Redeem  ☐ Bridge  ☐ Burn  ☐ Liquidation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abgegeben / erhalten / Gebühr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wirtschaftliche Veränderung dieses Schritts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Weitere Schritte auf Anlage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Keine weiteren Schritte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E.6 Approval</w:t>
      </w:r>
    </w:p>
    <w:tbl>
      <w:tblPr>
        <w:tblW w:w="9865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Approval vorhanden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nur technische Freigabe, noch keine Übertragung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nicht als Verkauf/Tausch behandelt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Netzwerkgebühr als Abgang erfasst, steuerlich getrennt geprüft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unbeschränkte Freigabe dokumentiert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E.7 Hingabe und Verfügungsmacht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Was wurde an wen / welchen Contract übertragen?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Kann der Anleger danach unmittelbar über dieselben Einheiten verfügen?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ja  ☐ nein  ☐ eingeschränkt  ☐ nur über Empfangstoken  ☐ nur über Gesamtposition  ☐ unklar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Kann das Protokoll die Einheiten verwenden/tauschen?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ja  ☐ nein  ☐ nur nach Regeln  ☐ unbekannt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Rückgabeanspruch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dieselben Einheiten  ☐ gleiche Art/Menge  ☐ variable Menge  ☐ Poolanteil  ☐ Nennwert  ☐ andere Position  ☐ keiner  ☐ unklar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Übertragung an einen Smart Contract ist nicht allein eine Veräußerung.</w:t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E.8 Empfangstoken, Poolposition, Anspruch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Ausgegeben?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ja  ☐ nein  ☐ intern  ☐ nur Kontostand  ☐ unklar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Name / Ticker / Contract / Standard / Menge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Übertragbar / eigener Marktpreis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ja  ☐ eingeschränkt  ☐ illiquide  ☐ nur Rücknahmewert  ☐ offen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Rechte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Poolanteil  ☐ Rückgabe  ☐ variable Menge  ☐ Nennwert  ☐ Governance  ☐ Gebühren  ☐ Incentive  ☐ Schuld/Sicherheit  ☐ Positions-NFT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Eigenes Wirtschaftsgut?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ja  ☐ nein  ☐ offen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Begründung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E.9–E.10 Zustand nach dem Hinweg / Vorher-Nachher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Verbliebene Ursprungspositionen / neue Token, Ansprüche, Schulden / Risiken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tbl>
      <w:tblPr>
        <w:tblW w:w="9865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Ausgangstoken und Empfangstoken nicht beide voll als unabhängige Bestände fortgeführt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Saldoanstieg nicht ungeprüft = Reward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neuer Ticker nicht ungeprüft = neues WG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gleicher Ticker nicht ungeprüft = identische Position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Vorher-Nachher-Kontrolle offen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E.11–E.12 Laufend, Claim, Compound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gesonderte Tokenvergütung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Incentive / Governance-Token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Gebührenanteil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steigender Rücknahmewert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Rebase / Mengenerhöhung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Autocompound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Poolzusammensetzung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Mechanismus unklar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Wie wird der Vorteil sichtbar / gesondert beanspruchbar?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Claim vorhanden / Zeitpunkt wirtschaftlicher Zugang / Claim-Tx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Erhaltene Position / Euro / neue Los-ID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nicht bei Gutschrift und Claim doppelt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Staking-Nichtbeanstandung nicht auf Vault/LP/Airdrop übertragen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Auto-Compound in Zufluss und neue Verwendung zerlegt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E.13 Besondere Struktur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Liquidity Pool / Mining — BMF: Liquidity Mining nicht Gegenstand des Schreibens.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mehrere Token eingebracht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LP-Token / interner Anteil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variable Zusammensetzung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Gebühren / Incentive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Positions-NFT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LP weiterverwendet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nicht einschlägig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Wrap / Bridge / Migration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Ursprung gesperrt / verbrannt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Repräsentation anderes Netz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Liquiditätsbrücke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Rücktauschrecht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Hin- und Rückweg verschieden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nicht einschlägig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Kredit / Stablecoin / Restaking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Sicherheit hinterlegt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Schuld / Mint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Liquidationsschwelle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Depeg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Stake erneut eingesetzt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mehrere Vergütungsquellen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nicht einschlägig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E.14 Rückweg</w:t>
      </w:r>
    </w:p>
    <w:tbl>
      <w:tblPr>
        <w:tblW w:w="9865" w:type="dxa"/>
        <w:jc w:val="start"/>
        <w:tblInd w:w="115" w:type="dxa"/>
        <w:tblLayout w:type="fixed"/>
        <w:tblCellMar>
          <w:top w:w="80" w:type="dxa"/>
          <w:start w:w="120" w:type="dxa"/>
          <w:bottom w:w="80" w:type="dxa"/>
          <w:end w:w="12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D4CBB8"/>
              <w:start w:val="single" w:sz="4" w:space="0" w:color="D4CBB8"/>
              <w:bottom w:val="single" w:sz="4" w:space="0" w:color="D4CBB8"/>
              <w:end w:val="single" w:sz="4" w:space="0" w:color="D4CBB8"/>
            </w:tcBorders>
            <w:shd w:fill="F4F1E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/>
                <w:color w:val="4A5568"/>
                <w:sz w:val="20"/>
              </w:rPr>
              <w:t>Der Rückweg beweist nicht rückwirkend die Einordnung des Hinwegs.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Datum / technische Bezeichnung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Redeem  ☐ Withdraw  ☐ Remove LP  ☐ Unwrap  ☐ Bridge zurück  ☐ Burn  ☐ Verkauf Empfangstoken  ☐ Liquidation  ☐ noch offen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abgegeben / erhalten / Empfangstoken vernichtet?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technisch gleich dem Hinweg?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ja  ☐ nein  ☐ teilweise  ☐ unklar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Welche Rechte endeten / was besteht fort / Behandlung des Rückwegs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E.15 Bewertung und Gebühren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Hinweg: Wert hin / Wert erhalten / Quelle / Gebühren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Laufzeit: bewertete Veränderungen / Methode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Rückweg: Werte / Quelle / Gebühren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keine Doppelbewertung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keine Extra-Slippage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Netzwerkgebühren gesondert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Europreis vorrangig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 Fantasiekurs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Bewertung offen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E.16 Ereignisse und Einkunftsarten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Hinweg / Laufzeit / Rückweg getrennt ankreuzen.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Transfer / Vorbereitung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mögliche Veräußerung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möglicher Tausch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Anschaffung neuer Position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Überlassung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gesonderter Zufluss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Wertänderung ohne Zufluss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Liquidation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Einordnung offen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§ 23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§ 22 Nr. 3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§ 20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betriebliche Einkünfte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keine steuerbare Folge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Vorrang offen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E.17 Grundlage und Unsicherheit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Belegte Tatsachen / fehlende Tatsachen / Annahmen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Gesetz / Rechtsprechung / Verwaltung (Rn. und Anwendungsbereich)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Offene Rechtsfrage / verwendete Behandlung / Gegenauffassung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Hilfsrechnung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nicht nötig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Beratung empfohlen / durchgeführt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mit offener Frage abgeschlossen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Fehlende BMF-Regel ist weder Steuerfreiheit noch automatische Tauschregel.</w:t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E.18–E.19 Belege und Abschluss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Hashes / Contracts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Protokolldoku vom Vorgangstag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Zustand vorher / nachher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Claim-Daten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Kurse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Lose in Anhang D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Hilfsrechnung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Approval und Hingabe getrennt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Bestand / Empfangstoken / Anspruch getrennt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Hinweg und Rückweg eigenständig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Bestände nicht verdoppelt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keine Pauschalregel DeFi = Tausch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Gesamtstatus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dokumentiert und eingeordnet  ☐ technisch vollständig, Einordnung offen  ☐ mit offener Rechtsfrage  ☐ Beratung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Datum / Bearbeiter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widowControl/>
        <w:bidi w:val="0"/>
        <w:spacing w:lineRule="auto" w:line="259" w:before="0" w:after="80"/>
        <w:jc w:val="start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020" w:right="1020" w:gutter="0" w:header="397" w:top="907" w:footer="397" w:bottom="10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mbria"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ourier">
    <w:altName w:val="Courier New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>
        <w:rFonts w:eastAsia="Calibri"/>
        <w:b w:val="false"/>
        <w:i w:val="false"/>
        <w:color w:val="4A5568"/>
        <w:sz w:val="18"/>
      </w:rPr>
      <w:t xml:space="preserve">Anhang E  ·  Keine steuerliche Beratung  ·  Seite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>
        <w:rFonts w:eastAsia="Calibri"/>
        <w:b w:val="false"/>
        <w:i w:val="false"/>
        <w:color w:val="4A5568"/>
        <w:sz w:val="18"/>
      </w:rPr>
      <w:t xml:space="preserve">Anhang E  ·  Keine steuerliche Beratung  ·  Seite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start"/>
      <w:rPr/>
    </w:pPr>
    <w:r>
      <w:rPr>
        <w:rFonts w:eastAsia="Calibri"/>
        <w:b w:val="false"/>
        <w:i w:val="false"/>
        <w:color w:val="4A5568"/>
        <w:sz w:val="18"/>
      </w:rPr>
      <w:t>Krypto-Steuern in Deutschland  ·  Arbeitsblatt  ·  Stand September 2026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start"/>
      <w:rPr/>
    </w:pPr>
    <w:r>
      <w:rPr>
        <w:rFonts w:eastAsia="Calibri"/>
        <w:b w:val="false"/>
        <w:i w:val="false"/>
        <w:color w:val="4A5568"/>
        <w:sz w:val="18"/>
      </w:rPr>
      <w:t>Krypto-Steuern in Deutschland  ·  Arbeitsblatt  ·  Stand September 2026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360"/>
        </w:tabs>
        <w:ind w:star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1080"/>
        </w:tabs>
        <w:ind w:star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360"/>
        </w:tabs>
        <w:ind w:start="36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5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6">
    <w:lvl w:ilvl="0">
      <w:start w:val="1"/>
      <w:numFmt w:val="decimal"/>
      <w:lvlText w:val="%1."/>
      <w:lvlJc w:val="start"/>
      <w:pPr>
        <w:tabs>
          <w:tab w:val="num" w:pos="1080"/>
        </w:tabs>
        <w:ind w:start="108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59" w:before="0" w:after="80"/>
      <w:jc w:val="start"/>
    </w:pPr>
    <w:rPr>
      <w:rFonts w:ascii="Calibri" w:hAnsi="Calibri" w:eastAsia="ＭＳ 明朝" w:cs=""/>
      <w:color w:val="1A1A1A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uiPriority w:val="99"/>
    <w:qFormat/>
    <w:rsid w:val="00e618bf"/>
    <w:rPr/>
  </w:style>
  <w:style w:type="character" w:styleId="FooterChar" w:customStyle="1">
    <w:name w:val="Footer Char"/>
    <w:basedOn w:val="DefaultParagraphFont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Text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berschrift">
    <w:name w:val="Überschrift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80"/>
      <w:ind w:hanging="360" w:star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Verzeichnis">
    <w:name w:val="Verzeichnis"/>
    <w:basedOn w:val="Normal"/>
    <w:qFormat/>
    <w:pPr>
      <w:suppressLineNumbers/>
    </w:pPr>
    <w:rPr>
      <w:rFonts w:cs="Lucida Sans"/>
    </w:rPr>
  </w:style>
  <w:style w:type="paragraph" w:styleId="Kopf-Fuzeile">
    <w:name w:val="Kopf-/Fußzeile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star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80"/>
      <w:ind w:star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80"/>
      <w:ind w:hanging="360" w:star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80"/>
      <w:ind w:hanging="360" w:star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8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8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8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8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8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8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star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star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start="1080"/>
      <w:contextualSpacing/>
    </w:pPr>
    <w:rPr/>
  </w:style>
  <w:style w:type="paragraph" w:styleId="MacroText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star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start="936" w:end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berschrift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KeineListe" w:default="1">
    <w:name w:val="Keine Liste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ns0:Properties xmlns:ns0="http://schemas.openxmlformats.org/officeDocument/2006/extended-properties">
  <ns0:Template>Normal.dotm</ns0:Template>
  <ns0:TotalTime>11</ns0:TotalTime>
  <ns0:Application>LibreOffice/26.2.5.2$Windows_X86_64 LibreOffice_project/cd7284b4cbbfeb507e630c1aac019f4157393acb</ns0:Application>
  <ns0:AppVersion>15.0000</ns0:AppVersion>
  <ns0:Pages>7</ns0:Pages>
  <ns0:Words>998</ns0:Words>
  <ns0:Characters>6355</ns0:Characters>
  <ns0:CharactersWithSpaces>7331</ns0:CharactersWithSpaces>
  <ns0:Paragraphs>194</ns0:Paragraphs>
  <ns0:Company>Nexaplex</ns0:Company>
  <ns0:Manager>Michael Schütz</ns0:Manager>
</ns0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2026-09-01T00:00:00Z</dcterms:created>
  <dc:creator>Michael Schütz</dc:creator>
  <dc:description>Arbeitsblatt zum Buch. Keine steuerliche Beratung. © 2026 Michael Schütz. Alle Rechte vorbehalten.</dc:description>
  <dc:language>de-DE</dc:language>
  <cp:lastModifiedBy>Michael Schütz</cp:lastModifiedBy>
  <dcterms:modified xsi:type="dcterms:W3CDTF">2026-09-13T11:59:53Z</dcterms:modified>
  <cp:revision>3</cp:revision>
  <dc:subject>Krypto-Steuern in Deutschland · Krypto Praxis · Band 1</dc:subject>
  <dc:title>Anhang E — Dokumentationsblatt DeFi</dc:title>
  <cp:keywords>Krypto, Steuern, Jahrescheckliste, Nexaplex, Krypto Praxis</cp:keywords>
  <cp:category>Arbeitsblatt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pyright">
    <vt:lpwstr>© 2026 Michael Schütz. Alle Rechte vorbehalten.</vt:lpwstr>
  </property>
  <property fmtid="{D5CDD505-2E9C-101B-9397-08002B2CF9AE}" pid="3" name="Company">
    <vt:lpwstr>Nexaplex</vt:lpwstr>
  </property>
</Properties>
</file>