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865" w:type="dxa"/>
        <w:jc w:val="start"/>
        <w:tblInd w:w="115" w:type="dxa"/>
        <w:tblLayout w:type="fixed"/>
        <w:tblCellMar>
          <w:top w:w="80" w:type="dxa"/>
          <w:start w:w="120" w:type="dxa"/>
          <w:bottom w:w="40" w:type="dxa"/>
          <w:end w:w="120" w:type="dxa"/>
        </w:tblCellMar>
        <w:tblLook w:val="04a0" w:firstRow="1" w:noVBand="1" w:lastRow="0" w:firstColumn="1" w:lastColumn="0" w:noHBand="0"/>
      </w:tblPr>
      <w:tblGrid>
        <w:gridCol w:w="9865"/>
      </w:tblGrid>
      <w:tr>
        <w:trPr/>
        <w:tc>
          <w:tcPr>
            <w:tcW w:w="9865" w:type="dxa"/>
            <w:tcBorders>
              <w:top w:val="single" w:sz="4" w:space="0" w:color="1B2A4A"/>
              <w:start w:val="single" w:sz="4" w:space="0" w:color="1B2A4A"/>
              <w:bottom w:val="single" w:sz="4" w:space="0" w:color="1B2A4A"/>
              <w:end w:val="single" w:sz="4" w:space="0" w:color="1B2A4A"/>
            </w:tcBorders>
            <w:shd w:fill="1B2A4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FFFFFF"/>
                <w:sz w:val="22"/>
              </w:rPr>
              <w:t>ANHANG F</w:t>
            </w:r>
          </w:p>
        </w:tc>
      </w:tr>
      <w:tr>
        <w:trPr/>
        <w:tc>
          <w:tcPr>
            <w:tcW w:w="9865" w:type="dxa"/>
            <w:tcBorders>
              <w:top w:val="single" w:sz="4" w:space="0" w:color="1B2A4A"/>
              <w:start w:val="single" w:sz="4" w:space="0" w:color="1B2A4A"/>
              <w:bottom w:val="single" w:sz="4" w:space="0" w:color="1B2A4A"/>
              <w:end w:val="single" w:sz="4" w:space="0" w:color="1B2A4A"/>
            </w:tcBorders>
            <w:shd w:fill="E8EEF4" w:val="clear"/>
            <w:tcMar>
              <w:bottom w:w="8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36"/>
              </w:rPr>
              <w:t>Rekonstruktionsprotokoll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865" w:type="dxa"/>
        <w:jc w:val="start"/>
        <w:tblInd w:w="115" w:type="dxa"/>
        <w:tblLayout w:type="fixed"/>
        <w:tblCellMar>
          <w:top w:w="80" w:type="dxa"/>
          <w:start w:w="120" w:type="dxa"/>
          <w:bottom w:w="80" w:type="dxa"/>
          <w:end w:w="120" w:type="dxa"/>
        </w:tblCellMar>
        <w:tblLook w:val="04a0" w:firstRow="1" w:noVBand="1" w:lastRow="0" w:firstColumn="1" w:lastColumn="0" w:noHBand="0"/>
      </w:tblPr>
      <w:tblGrid>
        <w:gridCol w:w="9865"/>
      </w:tblGrid>
      <w:tr>
        <w:trPr/>
        <w:tc>
          <w:tcPr>
            <w:tcW w:w="9865" w:type="dxa"/>
            <w:tcBorders>
              <w:top w:val="single" w:sz="4" w:space="0" w:color="D4CBB8"/>
              <w:start w:val="single" w:sz="4" w:space="0" w:color="D4CBB8"/>
              <w:bottom w:val="single" w:sz="4" w:space="0" w:color="D4CBB8"/>
              <w:end w:val="single" w:sz="4" w:space="0" w:color="D4CBB8"/>
            </w:tcBorders>
            <w:shd w:fill="F4F1E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/>
                <w:color w:val="4A5568"/>
                <w:sz w:val="20"/>
              </w:rPr>
              <w:t>Private Rekonstruktion ist keine Schätzung nach § 162 AO. Weder die günstigste noch die maximal belastende Variante wählen. Keine fiktiven Käufe, keine automatischen Null-AK.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F.1 Identifikation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Rekonstruktions-ID / betroffene Jahre / Person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Quellen-ID (C) / Vorgangs-ID (B) / Los-ID (D) / DeFi-ID (E)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Zeitraum der Lücke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Status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begonnen  ☐ Quellen werden beschafft  ☐ technisch fertig  ☐ Wirkung geprüft  ☐ mit Unsicherheit abgeschlossen  ☐ Beratung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F.2 Art der Lücke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Tatsache fehlt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Quelle fehlt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Quellen widersprechen sich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technischer Vorgang unklar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Einordnung offen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Anschaffungsdatum fehlt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AK fehlen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Zeitpunkt fehlt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Euro-Wert fehlt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Menge widersprüchlich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Gebühr unklar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Token / Contract unklar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Person / Wallet unklar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Transfer nicht verbunden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negativer Bestand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  <w:tcMar>
              <w:top w:w="0" w:type="dxa"/>
              <w:start w:w="108" w:type="dxa"/>
              <w:bottom w:w="0" w:type="dxa"/>
              <w:end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Konkrete Lücke / was bleibt sicher bekannt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</w:r>
      <w:r>
        <w:br w:type="page"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  <w:t>F.3 Reichweite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Betroffene Plattform / Token / Konten / Vorgänge / Zeitspanne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Mögliche Wirkung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Anschaffung  ☐ Veräußerung  ☐ Tausch  ☐ Zufluss  ☐ Transfer  ☐ Frist  ☐ AK  ☐ Preis  ☐ Einkunftsart  ☐ Freigrenze  ☐ Folgejahre  ☐ noch nicht bezifferbar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Nicht betroffene, weiter belastbare Bereiche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F.4 Ursache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Export nicht gesichert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Zugang weg / Konto gelöscht / Anbieter weg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Exportzeitraum begrenzt / Unterkonto fehlt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API unvollständig / Datei beschädigt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Tool nicht mehr verfügbar / Gerät verloren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Zeitzone fehlt / Anbieter hat Daten geändert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unterschiedliche Buchungslogik / unvollständiger Contract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Ursache unklar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Erkannt am / bisherige Sicherung / Wiederholungsgefahr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F.5–F.6 Quellen und Aussagekraft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Plattformexport / Orderhistorie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Ein-/Auszahlung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Blockchain / Hash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Vertrag / Bankbeleg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E-Mail / Screenshot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früherer Report (nur Auswertung)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eigene zeitnahe Notiz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Kursarchiv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Quelle 1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Bezeichnung / Datei / Hash / Datum / Herkunft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unmittelbar belegt / nur mittelbar / kann nicht belegen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Aussagekraft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unmittelbarer Beleg  ☐ starkes Indiz  ☐ ergänzend  ☐ nur frühere Auswertung  ☐ widersprüchlich  ☐ begrenzt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Quelle 2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Bezeichnung / Datei / Hash / Datum / Herkunft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unmittelbar belegt / nur mittelbar / kann nicht belegen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Aussagekraft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unmittelbarer Beleg  ☐ starkes Indiz  ☐ ergänzend  ☐ nur frühere Auswertung  ☐ widersprüchlich  ☐ begrenzt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Ein Hash belegt eine Bewegung, nicht den wirtschaftlichen Grund und nicht ohne Weiteres die Zurechnung.</w:t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F.7 Suche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Support / Kontoauskunft / Wiederherstellung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Mails, Downloads, alte Geräte, Cloud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früherer Berater / Gegenpartei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Explorer, Hashes, mehrere Netze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interne Contract-Aufrufe / UTXO / Fiatspur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vom sicheren Bestand rückwärts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Chronologie und Ergebnis / noch möglicher Schritt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F.8 Vom sicheren Bestand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Sicherer Bestand / Stichtag / Quelle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Belegte Zugänge / Abgänge / Gebühren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Anfangs + Zugänge − Abgänge − Gebühren = rechnerisches Ende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Belegtes Ende / Differenz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Die Differenz beweist nicht, ob Kauf, Reward, Transfer oder Tausch fehlt.</w:t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</w:r>
      <w:r>
        <w:br w:type="page"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  <w:t>F.9–F.12 Zeit, Menge, Anschaffung, Kurs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Belegter Zeitstempel / Zeitzone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Rekonstruierter maßgeblicher Zeitpunkt / Genauigkeit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Uhrzeit  ☐ Kalendertag  ☐ Zeitraum  ☐ nur Monat  ☐ offen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Brutto Quelle 1 / Netto Quelle 2 / Differenz / Ursache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Rekonstruierte Brutto / Netto / Gebühr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Frühester sicherer Besitz / rekonstruierter Anschaffungszeitraum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Rekonstruierte AK / Grundlage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Beleg  ☐ Fiatabfluss  ☐ Tauschgegenposition  ☐ Vorgängerhistorie  ☐ Indizien  ☐ nicht belastbar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Ereignis / Position / Menge / Bewertungszeitpunkt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Kursquelle / Paar / Methode / Gesamtwert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865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9865"/>
      </w:tblGrid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Walletzugang nicht = Anschaffungsdatum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Transfer nicht als Kauf rekonstruiert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kein fiktiver Zugang vor negativem Bestand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AK nicht automatisch null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eigener Preis nicht durch späteren Datenbankkurs ersetzt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Off-Chain-Handel kann vor der Chain-Zeit liegen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F.13 Widerspruch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Quelle 1 sagt / Quelle 2 sagt / Art des Widerspruchs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Welche Quelle liegt näher am Ursprungsvorgang / warum übernommen / Restunsicherheit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F.14 DeFi / Vertrag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Technisch rekonstruiert?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vollständig  ☐ teilweise  ☐ widersprüchlich  ☐ nicht möglich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Steuerliche Einordnung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nach Rekonstruktion eindeutig  ☐ mehrere Varianten  ☐ offene Rechtsfrage  ☐ Tatsachen fehlen  ☐ Beratung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Technisch klar kann steuerlich offen bleiben. Eine offene Rechtsfrage ist keine fehlende Transaktion.</w:t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F.15–F.16 Ergebnis, Annahmen, Hilfsrechnung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belegt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stark gestützt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plausibel rekonstruiert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offene Tatsachenfrage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offene Rechtsfrage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nicht rekonstruierbar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Ergebnis / belegte Teile / Indizien / Annahmen / Alternative und Wirkung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Annahme 1 / Grundlage / warum nötig / Wirkung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Annahme 2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Hilfsrechnung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keine  ☐ Zeit  ☐ Kurs  ☐ Menge  ☐ Einordnung  ☐ beigefügt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Eine Hilfsrechnung ist keine zweite Steuererklärung.</w:t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F.17 Scheinsicherheit</w:t>
      </w:r>
    </w:p>
    <w:tbl>
      <w:tblPr>
        <w:tblW w:w="9865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9865"/>
      </w:tblGrid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keine erfundene Transaktion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kein fiktiver Kauf gegen Minusbestand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keine automatischen Null-AK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Report nicht zur Primärquelle umbenannt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Toollabel nicht als Tatbestand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technisch geklärtes DeFi nicht als steuerlich geklärt verkauft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weder günstigste noch maximal belastende Variante nur wegen des Ergebnisses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keine scheinpräzisen Prozent-Sicherheiten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F.18 Rekonstruktionsvermerk</w:t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Lücke / Belege / Suche / Ergebnis / Annahmen / verworfene Alternativen / Grenzen / steuerliche Behandlung / nächste Prüfung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Gesamtstatus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belegt  ☐ stark gestützt  ☐ plausibel mit Annahmen  ☐ offene Tatsache  ☐ offene Rechtsfrage  ☐ nicht ausreichend  ☐ Beratung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Wirkung auf Jahresakte / Datum / Bearbeiter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widowControl/>
        <w:bidi w:val="0"/>
        <w:spacing w:lineRule="auto" w:line="259" w:before="0" w:after="80"/>
        <w:jc w:val="start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020" w:right="1020" w:gutter="0" w:header="397" w:top="907" w:footer="397" w:bottom="10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mbria"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Courier">
    <w:altName w:val="Courier New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>
        <w:rFonts w:eastAsia="Calibri"/>
        <w:b w:val="false"/>
        <w:i w:val="false"/>
        <w:color w:val="4A5568"/>
        <w:sz w:val="18"/>
      </w:rPr>
      <w:t xml:space="preserve">Anhang F  ·  Keine steuerliche Beratung  ·  Seite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  <w:r>
      <w:rPr>
        <w:rFonts w:eastAsia="Calibri"/>
        <w:b w:val="false"/>
        <w:i w:val="false"/>
        <w:color w:val="4A5568"/>
        <w:sz w:val="18"/>
      </w:rPr>
      <w:t xml:space="preserve">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>
        <w:rFonts w:eastAsia="Calibri"/>
        <w:b w:val="false"/>
        <w:i w:val="false"/>
        <w:color w:val="4A5568"/>
        <w:sz w:val="18"/>
      </w:rPr>
      <w:t xml:space="preserve">Anhang F  ·  Keine steuerliche Beratung  ·  Seite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  <w:r>
      <w:rPr>
        <w:rFonts w:eastAsia="Calibri"/>
        <w:b w:val="false"/>
        <w:i w:val="false"/>
        <w:color w:val="4A5568"/>
        <w:sz w:val="18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start"/>
      <w:rPr/>
    </w:pPr>
    <w:r>
      <w:rPr>
        <w:rFonts w:eastAsia="Calibri"/>
        <w:b w:val="false"/>
        <w:i w:val="false"/>
        <w:color w:val="4A5568"/>
        <w:sz w:val="18"/>
      </w:rPr>
      <w:t>Krypto-Steuern in Deutschland  ·  Arbeitsblatt  ·  Stand September 2026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start"/>
      <w:rPr/>
    </w:pPr>
    <w:r>
      <w:rPr>
        <w:rFonts w:eastAsia="Calibri"/>
        <w:b w:val="false"/>
        <w:i w:val="false"/>
        <w:color w:val="4A5568"/>
        <w:sz w:val="18"/>
      </w:rPr>
      <w:t>Krypto-Steuern in Deutschland  ·  Arbeitsblatt  ·  Stand September 2026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360"/>
        </w:tabs>
        <w:ind w:star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1080"/>
        </w:tabs>
        <w:ind w:star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4">
    <w:lvl w:ilvl="0">
      <w:start w:val="1"/>
      <w:numFmt w:val="decimal"/>
      <w:lvlText w:val="%1."/>
      <w:lvlJc w:val="start"/>
      <w:pPr>
        <w:tabs>
          <w:tab w:val="num" w:pos="360"/>
        </w:tabs>
        <w:ind w:start="36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5"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6">
    <w:lvl w:ilvl="0">
      <w:start w:val="1"/>
      <w:numFmt w:val="decimal"/>
      <w:lvlText w:val="%1."/>
      <w:lvlJc w:val="start"/>
      <w:pPr>
        <w:tabs>
          <w:tab w:val="num" w:pos="1080"/>
        </w:tabs>
        <w:ind w:start="108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7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bidi w:val="0"/>
      <w:spacing w:lineRule="auto" w:line="259" w:before="0" w:after="80"/>
      <w:jc w:val="start"/>
    </w:pPr>
    <w:rPr>
      <w:rFonts w:ascii="Calibri" w:hAnsi="Calibri" w:eastAsia="ＭＳ 明朝" w:cs=""/>
      <w:color w:val="1A1A1A"/>
      <w:kern w:val="0"/>
      <w:sz w:val="22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HeaderChar" w:customStyle="1">
    <w:name w:val="Header Char"/>
    <w:basedOn w:val="DefaultParagraphFont"/>
    <w:uiPriority w:val="99"/>
    <w:qFormat/>
    <w:rsid w:val="00e618bf"/>
    <w:rPr/>
  </w:style>
  <w:style w:type="character" w:styleId="FooterChar" w:customStyle="1">
    <w:name w:val="Footer Char"/>
    <w:basedOn w:val="DefaultParagraphFont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eading2Char" w:customStyle="1">
    <w:name w:val="Heading 2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Heading3Char" w:customStyle="1">
    <w:name w:val="Heading 3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character" w:styleId="TitleChar" w:customStyle="1">
    <w:name w:val="Title Char"/>
    <w:basedOn w:val="DefaultParagraphFont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BodyTextChar" w:customStyle="1">
    <w:name w:val="Body Text Char"/>
    <w:basedOn w:val="DefaultParagraphFon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Text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themeColor="text1" w:val="000000"/>
    </w:rPr>
  </w:style>
  <w:style w:type="character" w:styleId="Heading4Char" w:customStyle="1">
    <w:name w:val="Heading 4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character" w:styleId="Heading5Char" w:customStyle="1">
    <w:name w:val="Heading 5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character" w:styleId="Heading6Char" w:customStyle="1">
    <w:name w:val="Heading 6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character" w:styleId="Heading7Char" w:customStyle="1">
    <w:name w:val="Heading 7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Heading8Char" w:customStyle="1">
    <w:name w:val="Heading 8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character" w:styleId="Heading9Char" w:customStyle="1">
    <w:name w:val="Heading 9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themeColor="accent1" w:val="4F81BD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berschrift">
    <w:name w:val="Überschrift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">
    <w:name w:val="List"/>
    <w:basedOn w:val="Normal"/>
    <w:uiPriority w:val="99"/>
    <w:unhideWhenUsed/>
    <w:rsid w:val="00aa1d8d"/>
    <w:pPr>
      <w:spacing w:before="0" w:after="80"/>
      <w:ind w:hanging="360" w:start="360"/>
      <w:contextualSpacing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themeColor="accent1" w:val="4F81BD"/>
      <w:sz w:val="18"/>
      <w:szCs w:val="18"/>
    </w:rPr>
  </w:style>
  <w:style w:type="paragraph" w:styleId="Verzeichnis">
    <w:name w:val="Verzeichnis"/>
    <w:basedOn w:val="Normal"/>
    <w:qFormat/>
    <w:pPr>
      <w:suppressLineNumbers/>
    </w:pPr>
    <w:rPr>
      <w:rFonts w:cs="Lucida Sans"/>
    </w:rPr>
  </w:style>
  <w:style w:type="paragraph" w:styleId="Kopf-Fuzeile">
    <w:name w:val="Kopf-/Fußzeile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bidi w:val="0"/>
      <w:spacing w:lineRule="auto" w:line="240" w:before="0" w:after="0"/>
      <w:jc w:val="star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80"/>
      <w:ind w:start="72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2">
    <w:name w:val="List 2"/>
    <w:basedOn w:val="Normal"/>
    <w:uiPriority w:val="99"/>
    <w:unhideWhenUsed/>
    <w:qFormat/>
    <w:rsid w:val="00326f90"/>
    <w:pPr>
      <w:spacing w:before="0" w:after="80"/>
      <w:ind w:hanging="360" w:start="720"/>
      <w:contextualSpacing/>
    </w:pPr>
    <w:rPr/>
  </w:style>
  <w:style w:type="paragraph" w:styleId="List3">
    <w:name w:val="List 3"/>
    <w:basedOn w:val="Normal"/>
    <w:uiPriority w:val="99"/>
    <w:unhideWhenUsed/>
    <w:qFormat/>
    <w:rsid w:val="00326f90"/>
    <w:pPr>
      <w:spacing w:before="0" w:after="80"/>
      <w:ind w:hanging="360" w:start="1080"/>
      <w:contextualSpacing/>
    </w:pPr>
    <w:rPr/>
  </w:style>
  <w:style w:type="paragraph" w:styleId="ListBullet">
    <w:name w:val="List Bullet"/>
    <w:basedOn w:val="Normal"/>
    <w:uiPriority w:val="99"/>
    <w:unhideWhenUsed/>
    <w:rsid w:val="00326f90"/>
    <w:pPr>
      <w:numPr>
        <w:ilvl w:val="0"/>
        <w:numId w:val="1"/>
      </w:numPr>
      <w:spacing w:before="0" w:after="80"/>
      <w:contextualSpacing/>
    </w:pPr>
    <w:rPr/>
  </w:style>
  <w:style w:type="paragraph" w:styleId="ListBullet2">
    <w:name w:val="List Bullet 2"/>
    <w:basedOn w:val="Normal"/>
    <w:uiPriority w:val="99"/>
    <w:unhideWhenUsed/>
    <w:rsid w:val="00326f90"/>
    <w:pPr>
      <w:numPr>
        <w:ilvl w:val="0"/>
        <w:numId w:val="2"/>
      </w:numPr>
      <w:spacing w:before="0" w:after="80"/>
      <w:contextualSpacing/>
    </w:pPr>
    <w:rPr/>
  </w:style>
  <w:style w:type="paragraph" w:styleId="ListBullet3">
    <w:name w:val="List Bullet 3"/>
    <w:basedOn w:val="Normal"/>
    <w:uiPriority w:val="99"/>
    <w:unhideWhenUsed/>
    <w:rsid w:val="00326f90"/>
    <w:pPr>
      <w:numPr>
        <w:ilvl w:val="0"/>
        <w:numId w:val="3"/>
      </w:numPr>
      <w:spacing w:before="0" w:after="80"/>
      <w:contextualSpacing/>
    </w:pPr>
    <w:rPr/>
  </w:style>
  <w:style w:type="paragraph" w:styleId="ListNumber">
    <w:name w:val="List Number"/>
    <w:basedOn w:val="Normal"/>
    <w:uiPriority w:val="99"/>
    <w:unhideWhenUsed/>
    <w:rsid w:val="00326f90"/>
    <w:pPr>
      <w:numPr>
        <w:ilvl w:val="0"/>
        <w:numId w:val="4"/>
      </w:numPr>
      <w:spacing w:before="0" w:after="80"/>
      <w:contextualSpacing/>
    </w:pPr>
    <w:rPr/>
  </w:style>
  <w:style w:type="paragraph" w:styleId="ListNumber2">
    <w:name w:val="List Number 2"/>
    <w:basedOn w:val="Normal"/>
    <w:uiPriority w:val="99"/>
    <w:unhideWhenUsed/>
    <w:rsid w:val="0029639d"/>
    <w:pPr>
      <w:numPr>
        <w:ilvl w:val="0"/>
        <w:numId w:val="5"/>
      </w:numPr>
      <w:spacing w:before="0" w:after="80"/>
      <w:contextualSpacing/>
    </w:pPr>
    <w:rPr/>
  </w:style>
  <w:style w:type="paragraph" w:styleId="ListNumber3">
    <w:name w:val="List Number 3"/>
    <w:basedOn w:val="Normal"/>
    <w:uiPriority w:val="99"/>
    <w:unhideWhenUsed/>
    <w:rsid w:val="0029639d"/>
    <w:pPr>
      <w:numPr>
        <w:ilvl w:val="0"/>
        <w:numId w:val="6"/>
      </w:numPr>
      <w:spacing w:before="0" w:after="80"/>
      <w:contextualSpacing/>
    </w:pPr>
    <w:rPr/>
  </w:style>
  <w:style w:type="paragraph" w:styleId="ListContinue">
    <w:name w:val="List Continue"/>
    <w:basedOn w:val="Normal"/>
    <w:uiPriority w:val="99"/>
    <w:unhideWhenUsed/>
    <w:rsid w:val="0029639d"/>
    <w:pPr>
      <w:spacing w:before="0" w:after="120"/>
      <w:ind w:start="360"/>
      <w:contextualSpacing/>
    </w:pPr>
    <w:rPr/>
  </w:style>
  <w:style w:type="paragraph" w:styleId="ListContinue2">
    <w:name w:val="List Continue 2"/>
    <w:basedOn w:val="Normal"/>
    <w:uiPriority w:val="99"/>
    <w:unhideWhenUsed/>
    <w:rsid w:val="0029639d"/>
    <w:pPr>
      <w:spacing w:before="0" w:after="120"/>
      <w:ind w:start="720"/>
      <w:contextualSpacing/>
    </w:pPr>
    <w:rPr/>
  </w:style>
  <w:style w:type="paragraph" w:styleId="ListContinue3">
    <w:name w:val="List Continue 3"/>
    <w:basedOn w:val="Normal"/>
    <w:uiPriority w:val="99"/>
    <w:unhideWhenUsed/>
    <w:rsid w:val="0029639d"/>
    <w:pPr>
      <w:spacing w:before="0" w:after="120"/>
      <w:ind w:start="1080"/>
      <w:contextualSpacing/>
    </w:pPr>
    <w:rPr/>
  </w:style>
  <w:style w:type="paragraph" w:styleId="MacroText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bidi w:val="0"/>
      <w:spacing w:lineRule="auto" w:line="276" w:before="0" w:after="200"/>
      <w:jc w:val="star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themeColor="text1"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start="936" w:end="936"/>
    </w:pPr>
    <w:rPr>
      <w:b/>
      <w:bCs/>
      <w:i/>
      <w:iCs/>
      <w:color w:themeColor="accent1" w:val="4F81BD"/>
    </w:rPr>
  </w:style>
  <w:style w:type="paragraph" w:styleId="IndexHeading">
    <w:name w:val="index heading"/>
    <w:basedOn w:val="berschrift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/>
  </w:style>
  <w:style w:type="numbering" w:styleId="KeineListe" w:default="1">
    <w:name w:val="Keine Liste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ns0:Properties xmlns:ns0="http://schemas.openxmlformats.org/officeDocument/2006/extended-properties">
  <ns0:Template>Normal.dotm</ns0:Template>
  <ns0:TotalTime>2</ns0:TotalTime>
  <ns0:Application>LibreOffice/26.2.5.2$Windows_X86_64 LibreOffice_project/cd7284b4cbbfeb507e630c1aac019f4157393acb</ns0:Application>
  <ns0:AppVersion>15.0000</ns0:AppVersion>
  <ns0:Pages>5</ns0:Pages>
  <ns0:Words>824</ns0:Words>
  <ns0:Characters>5554</ns0:Characters>
  <ns0:CharactersWithSpaces>6352</ns0:CharactersWithSpaces>
  <ns0:Paragraphs>142</ns0:Paragraphs>
  <ns0:Company>Nexaplex</ns0:Company>
  <ns0:Manager>Michael Schütz</ns0:Manager>
</ns0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2026-09-01T00:00:00Z</dcterms:created>
  <dc:creator>Michael Schütz</dc:creator>
  <dc:description>Arbeitsblatt zum Buch. Keine steuerliche Beratung. © 2026 Michael Schütz. Alle Rechte vorbehalten.</dc:description>
  <dc:language>de-DE</dc:language>
  <cp:lastModifiedBy>Michael Schütz</cp:lastModifiedBy>
  <dcterms:modified xsi:type="dcterms:W3CDTF">2026-09-13T11:59:54Z</dcterms:modified>
  <cp:revision>3</cp:revision>
  <dc:subject>Krypto-Steuern in Deutschland · Krypto Praxis · Band 1</dc:subject>
  <dc:title>Anhang F — Rekonstruktionsprotokoll</dc:title>
  <cp:keywords>Krypto, Steuern, Jahrescheckliste, Nexaplex, Krypto Praxis</cp:keywords>
  <cp:category>Arbeitsblatt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pyright">
    <vt:lpwstr>© 2026 Michael Schütz. Alle Rechte vorbehalten.</vt:lpwstr>
  </property>
  <property fmtid="{D5CDD505-2E9C-101B-9397-08002B2CF9AE}" pid="3" name="Company">
    <vt:lpwstr>Nexaplex</vt:lpwstr>
  </property>
</Properties>
</file>