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865" w:type="dxa"/>
        <w:jc w:val="start"/>
        <w:tblInd w:w="115" w:type="dxa"/>
        <w:tblLayout w:type="fixed"/>
        <w:tblCellMar>
          <w:top w:w="80" w:type="dxa"/>
          <w:start w:w="120" w:type="dxa"/>
          <w:bottom w:w="40" w:type="dxa"/>
          <w:end w:w="120" w:type="dxa"/>
        </w:tblCellMar>
        <w:tblLook w:val="04a0" w:firstRow="1" w:noVBand="1" w:lastRow="0" w:firstColumn="1" w:lastColumn="0" w:noHBand="0"/>
      </w:tblPr>
      <w:tblGrid>
        <w:gridCol w:w="9865"/>
      </w:tblGrid>
      <w:tr>
        <w:trPr/>
        <w:tc>
          <w:tcPr>
            <w:tcW w:w="9865" w:type="dxa"/>
            <w:tcBorders>
              <w:top w:val="single" w:sz="4" w:space="0" w:color="1B2A4A"/>
              <w:start w:val="single" w:sz="4" w:space="0" w:color="1B2A4A"/>
              <w:bottom w:val="single" w:sz="4" w:space="0" w:color="1B2A4A"/>
              <w:end w:val="single" w:sz="4" w:space="0" w:color="1B2A4A"/>
            </w:tcBorders>
            <w:shd w:fill="1B2A4A" w:val="clear"/>
          </w:tcPr>
          <w:p>
            <w:pPr>
              <w:pStyle w:val="Normal"/>
              <w:widowControl/>
              <w:bidi w:val="0"/>
              <w:spacing w:lineRule="auto" w:line="259" w:before="0" w:after="80"/>
              <w:jc w:val="start"/>
              <w:rPr/>
            </w:pPr>
            <w:r>
              <w:rPr>
                <w:rFonts w:eastAsia="Calibri"/>
                <w:b/>
                <w:i w:val="false"/>
                <w:color w:val="FFFFFF"/>
                <w:sz w:val="22"/>
              </w:rPr>
              <w:t>ANHANG D</w:t>
            </w:r>
          </w:p>
        </w:tc>
      </w:tr>
      <w:tr>
        <w:trPr/>
        <w:tc>
          <w:tcPr>
            <w:tcW w:w="9865" w:type="dxa"/>
            <w:tcBorders>
              <w:top w:val="single" w:sz="4" w:space="0" w:color="1B2A4A"/>
              <w:start w:val="single" w:sz="4" w:space="0" w:color="1B2A4A"/>
              <w:bottom w:val="single" w:sz="4" w:space="0" w:color="1B2A4A"/>
              <w:end w:val="single" w:sz="4" w:space="0" w:color="1B2A4A"/>
            </w:tcBorders>
            <w:shd w:fill="E8EEF4" w:val="clear"/>
            <w:tcMar>
              <w:bottom w:w="80" w:type="dxa"/>
            </w:tcMar>
          </w:tcPr>
          <w:p>
            <w:pPr>
              <w:pStyle w:val="Normal"/>
              <w:widowControl/>
              <w:bidi w:val="0"/>
              <w:spacing w:lineRule="auto" w:line="259" w:before="0" w:after="80"/>
              <w:jc w:val="start"/>
              <w:rPr/>
            </w:pPr>
            <w:r>
              <w:rPr>
                <w:rFonts w:eastAsia="Calibri"/>
                <w:b/>
                <w:i w:val="false"/>
                <w:color w:val="1B2A4A"/>
                <w:sz w:val="32"/>
              </w:rPr>
              <w:t>Mein persönlicher Entscheidungsplan</w:t>
            </w:r>
          </w:p>
        </w:tc>
      </w:tr>
    </w:tbl>
    <w:p>
      <w:pPr>
        <w:pStyle w:val="Normal"/>
        <w:spacing w:before="200" w:after="120"/>
        <w:rPr/>
      </w:pPr>
      <w:r>
        <w:rPr>
          <w:rFonts w:eastAsia="Calibri"/>
          <w:b w:val="false"/>
          <w:i w:val="false"/>
          <w:color w:val="4A5568"/>
          <w:sz w:val="21"/>
        </w:rPr>
        <w:t>Ein Entscheidungsplan wird nicht für den idealen Tag geschrieben. Er soll Orientierung geben, wenn Kurse stark schwanken, Informationen widersprüchlich werden oder das eigene Urteil unter Druck gerät. Nicht jedes Feld muss für jede Strategie gleich ausführlich beantwortet werden. Offenbleiben sollten nur Punkte, die tatsächlich nicht relevant sind – nicht solche, deren Antwort unangenehm wäre.</w:t>
      </w:r>
    </w:p>
    <w:tbl>
      <w:tblPr>
        <w:tblW w:w="9865" w:type="dxa"/>
        <w:jc w:val="start"/>
        <w:tblInd w:w="95" w:type="dxa"/>
        <w:tblLayout w:type="fixed"/>
        <w:tblCellMar>
          <w:top w:w="70" w:type="dxa"/>
          <w:start w:w="100" w:type="dxa"/>
          <w:bottom w:w="70" w:type="dxa"/>
          <w:end w:w="100" w:type="dxa"/>
        </w:tblCellMar>
        <w:tblLook w:val="04a0" w:firstRow="1" w:noVBand="1" w:lastRow="0" w:firstColumn="1" w:lastColumn="0" w:noHBand="0"/>
      </w:tblPr>
      <w:tblGrid>
        <w:gridCol w:w="9865"/>
      </w:tblGrid>
      <w:tr>
        <w:trPr/>
        <w:tc>
          <w:tcPr>
            <w:tcW w:w="9865" w:type="dxa"/>
            <w:tcBorders>
              <w:top w:val="single" w:sz="4" w:space="0" w:color="D4CBB8"/>
              <w:start w:val="single" w:sz="4" w:space="0" w:color="D4CBB8"/>
              <w:bottom w:val="single" w:sz="4" w:space="0" w:color="D4CBB8"/>
              <w:end w:val="single" w:sz="4" w:space="0" w:color="D4CBB8"/>
            </w:tcBorders>
            <w:shd w:fill="F4F1EA" w:val="clear"/>
          </w:tcPr>
          <w:p>
            <w:pPr>
              <w:pStyle w:val="Normal"/>
              <w:widowControl/>
              <w:bidi w:val="0"/>
              <w:spacing w:lineRule="auto" w:line="259" w:before="0" w:after="80"/>
              <w:jc w:val="start"/>
              <w:rPr/>
            </w:pPr>
            <w:r>
              <w:rPr>
                <w:rFonts w:eastAsia="Calibri"/>
                <w:b w:val="false"/>
                <w:i/>
                <w:color w:val="1B2A4A"/>
                <w:sz w:val="20"/>
              </w:rPr>
              <w:t>In einer ruhigen Situation ausfüllen. Datum und Versionsnummer vergeben. Änderungen während einer laufenden Position nur nach Abschnitt D.7. Dieses Blatt strukturiert eigene Überlegungen. Es ist keine Anlageberatung und keine Erfolgsgarantie. Zu den Kapiteln 8 und 10.</w:t>
            </w:r>
          </w:p>
        </w:tc>
      </w:tr>
    </w:tbl>
    <w:p>
      <w:pPr>
        <w:pStyle w:val="Normal"/>
        <w:rPr/>
      </w:pPr>
      <w:r>
        <w:rPr/>
      </w:r>
    </w:p>
    <w:p>
      <w:pPr>
        <w:pStyle w:val="Normal"/>
        <w:spacing w:before="240" w:after="80"/>
        <w:rPr/>
      </w:pPr>
      <w:r>
        <w:rPr>
          <w:rFonts w:eastAsia="Calibri"/>
          <w:b/>
          <w:i w:val="false"/>
          <w:color w:val="1B2A4A"/>
          <w:sz w:val="26"/>
        </w:rPr>
        <w:t>D.1  Entscheidungsplan für langfristige Investitionen</w:t>
      </w:r>
    </w:p>
    <w:p>
      <w:pPr>
        <w:pStyle w:val="Normal"/>
        <w:spacing w:before="160" w:after="40"/>
        <w:rPr/>
      </w:pPr>
      <w:r>
        <w:rPr>
          <w:rFonts w:eastAsia="Calibri"/>
          <w:b/>
          <w:i w:val="false"/>
          <w:color w:val="1B2A4A"/>
          <w:sz w:val="23"/>
        </w:rPr>
        <w:t>Grunddaten</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Bezeichnung der Position oder Strategie</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Datum der Erstellung</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Version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Nächster regulärer Überprüfungstermin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pPr>
      <w:r>
        <w:rPr>
          <w:rFonts w:eastAsia="Calibri"/>
          <w:b/>
          <w:i w:val="false"/>
          <w:color w:val="1B2A4A"/>
          <w:sz w:val="23"/>
        </w:rPr>
        <w:t>Zweck und Portfoliorolle</w:t>
      </w:r>
    </w:p>
    <w:p>
      <w:pPr>
        <w:pStyle w:val="Normal"/>
        <w:rPr/>
      </w:pPr>
      <w:r>
        <w:rPr>
          <w:rFonts w:eastAsia="Calibri"/>
          <w:b w:val="false"/>
          <w:i w:val="false"/>
          <w:color w:val="1A1A1A"/>
          <w:sz w:val="21"/>
        </w:rPr>
        <w:t>Welchen Zweck erfüllt diese Position?</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4933"/>
        <w:gridCol w:w="4933"/>
      </w:tblGrid>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langfristiger Vermögensaufbau</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Altersvorsorge</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strategische Diversifikation</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laufende Erträge</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Inflationsschutz</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begrenzte spekulative Beimischung</w:t>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Anderer Zweck</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Rolle im Gesamtportfolio</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Überschneidende Positionen oder Risiken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pPr>
      <w:r>
        <w:rPr>
          <w:rFonts w:eastAsia="Calibri"/>
          <w:b/>
          <w:i w:val="false"/>
          <w:color w:val="1B2A4A"/>
          <w:sz w:val="23"/>
        </w:rPr>
        <w:t>These und tragende Annahmen</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Anlagethese in höchstens drei Sätzen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Annahmen, die gelten müssen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Stärkste Gegenargumente</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Informationen, die die These ernsthaft schwächen würden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pPr>
      <w:r>
        <w:rPr>
          <w:rFonts w:eastAsia="Calibri"/>
          <w:b/>
          <w:i w:val="false"/>
          <w:color w:val="1B2A4A"/>
          <w:sz w:val="23"/>
        </w:rPr>
        <w:t>Zeithorizont und Liquidität</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Geplanter Mindestzeithorizont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Wann könnte das Kapital benötigt werden?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rPr/>
      </w:pPr>
      <w:r>
        <w:rPr>
          <w:rFonts w:eastAsia="Calibri"/>
          <w:b w:val="false"/>
          <w:i w:val="false"/>
          <w:color w:val="1A1A1A"/>
          <w:sz w:val="21"/>
        </w:rPr>
        <w:t>Ist der absehbare Liquiditätsbedarf außerhalb dieser Position gesichert?</w:t>
      </w:r>
    </w:p>
    <w:tbl>
      <w:tblPr>
        <w:tblW w:w="9867"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3289"/>
        <w:gridCol w:w="3289"/>
        <w:gridCol w:w="3289"/>
      </w:tblGrid>
      <w:tr>
        <w:trPr/>
        <w:tc>
          <w:tcPr>
            <w:tcW w:w="3289"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Ja</w:t>
            </w:r>
          </w:p>
        </w:tc>
        <w:tc>
          <w:tcPr>
            <w:tcW w:w="3289"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Nein</w:t>
            </w:r>
          </w:p>
        </w:tc>
        <w:tc>
          <w:tcPr>
            <w:tcW w:w="3289"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Nur teilweise</w:t>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Lebensveränderungen, die eine frühere Prüfung auslösen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pPr>
      <w:r>
        <w:rPr>
          <w:rFonts w:eastAsia="Calibri"/>
          <w:b/>
          <w:i w:val="false"/>
          <w:color w:val="1B2A4A"/>
          <w:sz w:val="23"/>
        </w:rPr>
        <w:t>Allokation und Risikogrenzen</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Geplanter Anteil am Gesamtportfolio in %</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Maximal akzeptierter Anteil in %</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Maximaler Betrag</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Konzentrationsrisiken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Anlagen, die in einer Krise ähnlich reagieren könnten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Finanzielle Belastung, die bei einem starken Rückgang tragbar wäre</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Persönliche Belastung, die nicht mehr tragbar wäre</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rFonts w:ascii="Calibri" w:hAnsi="Calibri" w:eastAsia="Calibri"/>
          <w:b/>
          <w:i w:val="false"/>
          <w:color w:val="1B2A4A"/>
          <w:sz w:val="23"/>
        </w:rPr>
      </w:pPr>
      <w:r>
        <w:rPr>
          <w:rFonts w:eastAsia="Calibri"/>
          <w:b/>
          <w:i w:val="false"/>
          <w:color w:val="1B2A4A"/>
          <w:sz w:val="23"/>
        </w:rPr>
      </w:r>
      <w:r>
        <w:br w:type="page"/>
      </w:r>
    </w:p>
    <w:p>
      <w:pPr>
        <w:pStyle w:val="Normal"/>
        <w:spacing w:before="160" w:after="40"/>
        <w:rPr>
          <w:rFonts w:ascii="Calibri" w:hAnsi="Calibri" w:eastAsia="Calibri"/>
          <w:b/>
          <w:i w:val="false"/>
          <w:color w:val="1B2A4A"/>
          <w:sz w:val="23"/>
        </w:rPr>
      </w:pPr>
      <w:r>
        <w:rPr>
          <w:rFonts w:eastAsia="Calibri"/>
          <w:b/>
          <w:i w:val="false"/>
          <w:color w:val="1B2A4A"/>
          <w:sz w:val="23"/>
        </w:rPr>
        <w:t>Regeln für Halten, Reduzieren und Aussteigen</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Halten ist vorgesehen, solange</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Eine Reduzierung wird geprüft, wenn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Ein vollständiger Ausstieg wird geprüft, wenn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rPr/>
      </w:pPr>
      <w:r>
        <w:rPr>
          <w:rFonts w:eastAsia="Calibri"/>
          <w:b w:val="false"/>
          <w:i w:val="false"/>
          <w:color w:val="1A1A1A"/>
          <w:sz w:val="21"/>
        </w:rPr>
        <w:t>Diese Bedingungen rechtfertigen für sich allein keinen Verkauf:</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4933"/>
        <w:gridCol w:w="4933"/>
      </w:tblGrid>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kurzfristiger Kursrückgang</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allgemeine negative Stimmung</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einzelne Schlagzeile ohne Bedeutung für die These</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Angst ohne veränderte Informationslage</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Gewinne anderer Marktteilnehmer</w:t>
            </w:r>
          </w:p>
        </w:tc>
        <w:tc>
          <w:tcPr>
            <w:tcW w:w="4933" w:type="dxa"/>
            <w:tcBorders/>
            <w:tcMar>
              <w:top w:w="0" w:type="dxa"/>
              <w:start w:w="108" w:type="dxa"/>
              <w:bottom w:w="0" w:type="dxa"/>
              <w:end w:w="108" w:type="dxa"/>
            </w:tcMar>
          </w:tcPr>
          <w:p>
            <w:pPr>
              <w:pStyle w:val="Normal"/>
              <w:widowControl/>
              <w:bidi w:val="0"/>
              <w:spacing w:lineRule="auto" w:line="259" w:before="0" w:after="80"/>
              <w:jc w:val="start"/>
              <w:rPr/>
            </w:pPr>
            <w:r>
              <w:rPr/>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Sonstiges</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pPr>
      <w:r>
        <w:rPr>
          <w:rFonts w:eastAsia="Calibri"/>
          <w:b/>
          <w:i w:val="false"/>
          <w:color w:val="1B2A4A"/>
          <w:sz w:val="23"/>
        </w:rPr>
        <w:t>Verhalten bei starken Rückgängen</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Bei einem Rückgang von ungefähr 20 % prüfe ich</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Bei einem Rückgang von ungefähr 40 % prüfe ich</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Bei einem Rückgang von ungefähr 60 % prüfe ich</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Vorab festgelegte erste Reaktion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Das darf ich während des Rückgangs nicht spontan verändern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240" w:after="80"/>
        <w:rPr>
          <w:rFonts w:ascii="Calibri" w:hAnsi="Calibri" w:eastAsia="Calibri"/>
          <w:b/>
          <w:i w:val="false"/>
          <w:color w:val="1B2A4A"/>
          <w:sz w:val="26"/>
        </w:rPr>
      </w:pPr>
      <w:r>
        <w:rPr>
          <w:rFonts w:eastAsia="Calibri"/>
          <w:b/>
          <w:i w:val="false"/>
          <w:color w:val="1B2A4A"/>
          <w:sz w:val="26"/>
        </w:rPr>
      </w:r>
      <w:r>
        <w:br w:type="page"/>
      </w:r>
    </w:p>
    <w:p>
      <w:pPr>
        <w:pStyle w:val="Normal"/>
        <w:spacing w:before="240" w:after="80"/>
        <w:rPr>
          <w:rFonts w:ascii="Calibri" w:hAnsi="Calibri" w:eastAsia="Calibri"/>
          <w:b/>
          <w:i w:val="false"/>
          <w:color w:val="1B2A4A"/>
          <w:sz w:val="26"/>
        </w:rPr>
      </w:pPr>
      <w:r>
        <w:rPr>
          <w:rFonts w:eastAsia="Calibri"/>
          <w:b/>
          <w:i w:val="false"/>
          <w:color w:val="1B2A4A"/>
          <w:sz w:val="26"/>
        </w:rPr>
        <w:t>D.2  Entscheidungsplan für aktive Trades</w:t>
      </w:r>
    </w:p>
    <w:p>
      <w:pPr>
        <w:pStyle w:val="Normal"/>
        <w:spacing w:before="160" w:after="40"/>
        <w:rPr/>
      </w:pPr>
      <w:r>
        <w:rPr>
          <w:rFonts w:eastAsia="Calibri"/>
          <w:b/>
          <w:i w:val="false"/>
          <w:color w:val="1B2A4A"/>
          <w:sz w:val="23"/>
        </w:rPr>
        <w:t>Grunddaten</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Markt oder Instrument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Datum der Planerstellung</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Version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Nächste Systemüberprüfung</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rPr/>
      </w:pPr>
      <w:r>
        <w:rPr>
          <w:rFonts w:eastAsia="Calibri"/>
          <w:b w:val="false"/>
          <w:i w:val="false"/>
          <w:color w:val="1A1A1A"/>
          <w:sz w:val="21"/>
        </w:rPr>
        <w:t>Handelsstil</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4933"/>
        <w:gridCol w:w="4933"/>
      </w:tblGrid>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Daytrade</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Swingtrade</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Positionstrade</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systematischer Handel</w:t>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Anderer Stil</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pPr>
      <w:r>
        <w:rPr>
          <w:rFonts w:eastAsia="Calibri"/>
          <w:b/>
          <w:i w:val="false"/>
          <w:color w:val="1B2A4A"/>
          <w:sz w:val="23"/>
        </w:rPr>
        <w:t>Setup und Handelsvorteil</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Bezeichnung des Setups</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Das Setup in höchstens drei Sätzen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Marktbedingungen, unter denen es gehandelt werden darf</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Bedingungen, unter denen es nicht gehandelt werden darf</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Worauf der erwartete Handelsvorteil beruht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Daten oder dokumentierte Beobachtungen, die das stützen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pPr>
      <w:r>
        <w:rPr>
          <w:rFonts w:eastAsia="Calibri"/>
          <w:b/>
          <w:i w:val="false"/>
          <w:color w:val="1B2A4A"/>
          <w:sz w:val="23"/>
        </w:rPr>
        <w:t>Einstieg und Invalidation</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Vollständige Einstiegsbedingungen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Invalidationsniveau beziehungsweise Stop-Logik</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Zeitliche Invalidation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Bedingungen, unter denen eine geplante Order nicht mehr ausgeführt wird</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rFonts w:ascii="Calibri" w:hAnsi="Calibri" w:eastAsia="Calibri"/>
          <w:b/>
          <w:i w:val="false"/>
          <w:color w:val="1B2A4A"/>
          <w:sz w:val="23"/>
        </w:rPr>
      </w:pPr>
      <w:r>
        <w:rPr>
          <w:rFonts w:eastAsia="Calibri"/>
          <w:b/>
          <w:i w:val="false"/>
          <w:color w:val="1B2A4A"/>
          <w:sz w:val="23"/>
        </w:rPr>
      </w:r>
      <w:r>
        <w:br w:type="page"/>
      </w:r>
    </w:p>
    <w:p>
      <w:pPr>
        <w:pStyle w:val="Normal"/>
        <w:spacing w:before="160" w:after="40"/>
        <w:rPr>
          <w:rFonts w:ascii="Calibri" w:hAnsi="Calibri" w:eastAsia="Calibri"/>
          <w:b/>
          <w:i w:val="false"/>
          <w:color w:val="1B2A4A"/>
          <w:sz w:val="23"/>
        </w:rPr>
      </w:pPr>
      <w:r>
        <w:rPr>
          <w:rFonts w:eastAsia="Calibri"/>
          <w:b/>
          <w:i w:val="false"/>
          <w:color w:val="1B2A4A"/>
          <w:sz w:val="23"/>
        </w:rPr>
        <w:t>Risiko und Positionsgröße</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Kontogröße oder Berechnungsgrundlage</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Maximales Risiko je Trade in % / Betrag</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Abstand zur Invalidation beziehungsweise zum Stop</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Daraus abgeleitete Positionsgröße</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Maximale gleichzeitige Gesamtexposition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Maximale Zahl gleichzeitig offener Positionen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Berücksichtigung korrelierter Positionen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pPr>
      <w:r>
        <w:rPr>
          <w:rFonts w:eastAsia="Calibri"/>
          <w:b/>
          <w:i w:val="false"/>
          <w:color w:val="1B2A4A"/>
          <w:sz w:val="23"/>
        </w:rPr>
        <w:t>Management und Ausstieg</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Regel für Gewinnmitnahme</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Regel für Teilverkäufe</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Regel für Stop-Anpassungen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Zeitlimit des Trades</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Verhalten vor Nachrichten, Handelspausen oder illiquiden Phasen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Das darf während eines offenen Trades nicht verändert werden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pPr>
      <w:r>
        <w:rPr>
          <w:rFonts w:eastAsia="Calibri"/>
          <w:b/>
          <w:i w:val="false"/>
          <w:color w:val="1B2A4A"/>
          <w:sz w:val="23"/>
        </w:rPr>
        <w:t>Drawdown- und Pausenregeln</w:t>
      </w:r>
    </w:p>
    <w:p>
      <w:pPr>
        <w:pStyle w:val="Normal"/>
        <w:rPr/>
      </w:pPr>
      <w:r>
        <w:rPr>
          <w:rFonts w:eastAsia="Calibri"/>
          <w:b w:val="false"/>
          <w:i w:val="false"/>
          <w:color w:val="1A1A1A"/>
          <w:sz w:val="21"/>
        </w:rPr>
        <w:t>Eine Verlustserie allein beweist noch kein Systemversagen. Geprüft werden getrennt:</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4933"/>
        <w:gridCol w:w="4933"/>
      </w:tblGrid>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normale Ergebnisvarianz</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Ausführungsfehler</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Regelverletzungen</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veränderte Marktbedingungen</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möglicher Fehler des Systems</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technische oder operative Störungen</w:t>
            </w:r>
          </w:p>
        </w:tc>
      </w:tr>
    </w:tbl>
    <w:p>
      <w:pPr>
        <w:pStyle w:val="Normal"/>
        <w:rPr/>
      </w:pPr>
      <w:r>
        <w:rPr/>
      </w:r>
    </w:p>
    <w:p>
      <w:pPr>
        <w:pStyle w:val="Normal"/>
        <w:spacing w:before="240" w:after="80"/>
        <w:rPr>
          <w:rFonts w:ascii="Calibri" w:hAnsi="Calibri" w:eastAsia="Calibri"/>
          <w:b/>
          <w:i w:val="false"/>
          <w:color w:val="1B2A4A"/>
          <w:sz w:val="26"/>
        </w:rPr>
      </w:pPr>
      <w:r>
        <w:rPr>
          <w:rFonts w:eastAsia="Calibri"/>
          <w:b/>
          <w:i w:val="false"/>
          <w:color w:val="1B2A4A"/>
          <w:sz w:val="26"/>
        </w:rPr>
      </w:r>
      <w:r>
        <w:br w:type="page"/>
      </w:r>
    </w:p>
    <w:p>
      <w:pPr>
        <w:pStyle w:val="Normal"/>
        <w:spacing w:before="240" w:after="80"/>
        <w:rPr>
          <w:rFonts w:ascii="Calibri" w:hAnsi="Calibri" w:eastAsia="Calibri"/>
          <w:b/>
          <w:i w:val="false"/>
          <w:color w:val="1B2A4A"/>
          <w:sz w:val="26"/>
        </w:rPr>
      </w:pPr>
      <w:r>
        <w:rPr>
          <w:rFonts w:eastAsia="Calibri"/>
          <w:b/>
          <w:i w:val="false"/>
          <w:color w:val="1B2A4A"/>
          <w:sz w:val="26"/>
        </w:rPr>
        <w:t>D.3  Persönliche Risikogrenzen und Stresstest</w:t>
      </w:r>
    </w:p>
    <w:p>
      <w:pPr>
        <w:pStyle w:val="Normal"/>
        <w:spacing w:before="200" w:after="120"/>
        <w:rPr/>
      </w:pPr>
      <w:r>
        <w:rPr>
          <w:rFonts w:eastAsia="Calibri"/>
          <w:b w:val="false"/>
          <w:i w:val="false"/>
          <w:color w:val="4A5568"/>
          <w:sz w:val="21"/>
        </w:rPr>
        <w:t>Der Stresstest soll nicht vorhersagen, welche Entwicklung eintreten wird. Er prüft, ob Kapitalbedarf, Positionsgröße und vorgesehenes Verhalten auch unter ungünstigen Bedingungen zusammenpassen.</w:t>
      </w:r>
    </w:p>
    <w:p>
      <w:pPr>
        <w:pStyle w:val="Normal"/>
        <w:spacing w:before="160" w:after="40"/>
        <w:rPr/>
      </w:pPr>
      <w:r>
        <w:rPr>
          <w:rFonts w:eastAsia="Calibri"/>
          <w:b/>
          <w:i w:val="false"/>
          <w:color w:val="1B2A4A"/>
          <w:sz w:val="23"/>
        </w:rPr>
        <w:t>Investorenspur</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Szenario, das die finanzielle Tragfähigkeit überschreitet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Szenario, das die persönliche Tragfähigkeit überschreitet</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Anpassung, die deshalb bereits vor einer Krise erforderlich ist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pPr>
      <w:r>
        <w:rPr>
          <w:rFonts w:eastAsia="Calibri"/>
          <w:b/>
          <w:i w:val="false"/>
          <w:color w:val="1B2A4A"/>
          <w:sz w:val="23"/>
        </w:rPr>
        <w:t>Traderspur</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Maximaler Tagesverlust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Maximaler Wochenverlust</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Maximaler Gesamtdrawdown vor einer vollständigen Pause</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Wer oder was entscheidet über die Rückkehr?</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240" w:after="80"/>
        <w:rPr/>
      </w:pPr>
      <w:r>
        <w:rPr>
          <w:rFonts w:eastAsia="Calibri"/>
          <w:b/>
          <w:i w:val="false"/>
          <w:color w:val="1B2A4A"/>
          <w:sz w:val="26"/>
        </w:rPr>
        <w:t>D.4  Persönliche Wenn-dann-Regeln</w:t>
      </w:r>
    </w:p>
    <w:p>
      <w:pPr>
        <w:pStyle w:val="Normal"/>
        <w:spacing w:before="200" w:after="120"/>
        <w:rPr/>
      </w:pPr>
      <w:r>
        <w:rPr>
          <w:rFonts w:eastAsia="Calibri"/>
          <w:b w:val="false"/>
          <w:i w:val="false"/>
          <w:color w:val="4A5568"/>
          <w:sz w:val="21"/>
        </w:rPr>
        <w:t>Eine brauchbare Wenn-dann-Regel enthält einen beobachtbaren Auslöser und eine konkrete Handlung. Formulierungen wie „Wenn ich unsicher bin, passe ich besser auf“ sind zu unbestimmt. Zu Kapitel 8.2.</w:t>
      </w:r>
    </w:p>
    <w:p>
      <w:pPr>
        <w:pStyle w:val="Normal"/>
        <w:spacing w:before="160" w:after="40"/>
        <w:rPr/>
      </w:pPr>
      <w:r>
        <w:rPr>
          <w:rFonts w:eastAsia="Calibri"/>
          <w:b/>
          <w:i w:val="false"/>
          <w:color w:val="1B2A4A"/>
          <w:sz w:val="23"/>
        </w:rPr>
        <w:t>Regel 1</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Beobachtbarer Auslöser</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Konkrete Handlung</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Das darf währenddessen nicht verändert werden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Die Regel gilt bis</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Überprüfungs- oder Rückkehrbedingung</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rFonts w:ascii="Calibri" w:hAnsi="Calibri" w:eastAsia="Calibri"/>
          <w:b/>
          <w:i w:val="false"/>
          <w:color w:val="1B2A4A"/>
          <w:sz w:val="23"/>
        </w:rPr>
      </w:pPr>
      <w:r>
        <w:rPr>
          <w:rFonts w:eastAsia="Calibri"/>
          <w:b/>
          <w:i w:val="false"/>
          <w:color w:val="1B2A4A"/>
          <w:sz w:val="23"/>
        </w:rPr>
      </w:r>
      <w:r>
        <w:br w:type="page"/>
      </w:r>
    </w:p>
    <w:p>
      <w:pPr>
        <w:pStyle w:val="Normal"/>
        <w:spacing w:before="160" w:after="40"/>
        <w:rPr>
          <w:rFonts w:ascii="Calibri" w:hAnsi="Calibri" w:eastAsia="Calibri"/>
          <w:b/>
          <w:i w:val="false"/>
          <w:color w:val="1B2A4A"/>
          <w:sz w:val="23"/>
        </w:rPr>
      </w:pPr>
      <w:r>
        <w:rPr>
          <w:rFonts w:eastAsia="Calibri"/>
          <w:b/>
          <w:i w:val="false"/>
          <w:color w:val="1B2A4A"/>
          <w:sz w:val="23"/>
        </w:rPr>
        <w:t>Regel 2</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Beobachtbarer Auslöser</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Konkrete Handlung</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Das darf währenddessen nicht verändert werden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Die Regel gilt bis</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Überprüfungs- oder Rückkehrbedingung</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pPr>
      <w:r>
        <w:rPr>
          <w:rFonts w:eastAsia="Calibri"/>
          <w:b/>
          <w:i w:val="false"/>
          <w:color w:val="1B2A4A"/>
          <w:sz w:val="23"/>
        </w:rPr>
        <w:t>Regel 3</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Beobachtbarer Auslöser</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Konkrete Handlung</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Das darf währenddessen nicht verändert werden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Die Regel gilt bis</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Überprüfungs- oder Rückkehrbedingung</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240" w:after="80"/>
        <w:rPr/>
      </w:pPr>
      <w:r>
        <w:rPr>
          <w:rFonts w:eastAsia="Calibri"/>
          <w:b/>
          <w:i w:val="false"/>
          <w:color w:val="1B2A4A"/>
          <w:sz w:val="26"/>
        </w:rPr>
        <w:t>D.5  Krisen- und Notfallplan</w:t>
      </w:r>
    </w:p>
    <w:p>
      <w:pPr>
        <w:pStyle w:val="Normal"/>
        <w:spacing w:before="200" w:after="120"/>
        <w:rPr/>
      </w:pPr>
      <w:r>
        <w:rPr>
          <w:rFonts w:eastAsia="Calibri"/>
          <w:b w:val="false"/>
          <w:i w:val="false"/>
          <w:color w:val="4A5568"/>
          <w:sz w:val="21"/>
        </w:rPr>
        <w:t>Der Notfallplan gilt für außergewöhnliche Situationen, in denen die normale Entscheidungsfähigkeit, technische Ausführung oder finanzielle Handlungsfreiheit gefährdet ist. Zu Kapitel 10.4.</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1. Auslöser – Der Notfallplan wird aktiviert, wenn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2. Schutzhandlung – Unmittelbar nach der Aktivierung geschieht</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3. Verbot – Während der Notfallphase darf nicht geschehen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4. Zuerst zu prüfende Positionen, Risiken und Verpflichtungen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Verfügbare Liquidität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Offene oder bedingte Verpflichtungen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5. Was ich weiterhin kontrollieren kann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Was ich nicht kontrollieren kann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6. Wenn Daten, Broker, Börse oder Technik ausfallen, gilt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Wenn ich selbst nicht mehr nüchtern entscheiden kann, gilt</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Diese Person oder Stelle wird hinzugezogen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Zum Normalbetrieb kehre ich erst zurück, wenn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240" w:after="80"/>
        <w:rPr/>
      </w:pPr>
      <w:r>
        <w:rPr>
          <w:rFonts w:eastAsia="Calibri"/>
          <w:b/>
          <w:i w:val="false"/>
          <w:color w:val="1B2A4A"/>
          <w:sz w:val="26"/>
        </w:rPr>
        <w:t>D.6  Überprüfungsrhythmus</w:t>
      </w:r>
    </w:p>
    <w:p>
      <w:pPr>
        <w:pStyle w:val="Normal"/>
        <w:spacing w:before="200" w:after="120"/>
        <w:rPr/>
      </w:pPr>
      <w:r>
        <w:rPr>
          <w:rFonts w:eastAsia="Calibri"/>
          <w:b w:val="false"/>
          <w:i w:val="false"/>
          <w:color w:val="4A5568"/>
          <w:sz w:val="21"/>
        </w:rPr>
        <w:t>Ein Plan benötigt feste Überprüfungstermine. Gleichzeitig darf nicht jede kurzfristige Bewegung eine vollständige Neubewertung auslösen. Eine außerplanmäßige Prüfung führt nicht automatisch zu einer Transaktion oder Regeländerung.</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Außerplanmäßige Prüfungen werden ausgelöst durch</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240" w:after="80"/>
        <w:rPr/>
      </w:pPr>
      <w:r>
        <w:rPr>
          <w:rFonts w:eastAsia="Calibri"/>
          <w:b/>
          <w:i w:val="false"/>
          <w:color w:val="1B2A4A"/>
          <w:sz w:val="26"/>
        </w:rPr>
        <w:t>D.7  Regeln für Planänderungen</w:t>
      </w:r>
    </w:p>
    <w:p>
      <w:pPr>
        <w:pStyle w:val="Normal"/>
        <w:spacing w:before="200" w:after="120"/>
        <w:rPr/>
      </w:pPr>
      <w:r>
        <w:rPr>
          <w:rFonts w:eastAsia="Calibri"/>
          <w:b w:val="false"/>
          <w:i w:val="false"/>
          <w:color w:val="4A5568"/>
          <w:sz w:val="21"/>
        </w:rPr>
        <w:t>Ein Plan darf verändert werden. Die Änderung muss jedoch von der aktuellen emotionalen Entlastung getrennt werden. Zu den Kapiteln 8.5 und 11.5.</w:t>
      </w:r>
    </w:p>
    <w:p>
      <w:pPr>
        <w:pStyle w:val="Normal"/>
        <w:spacing w:before="160" w:after="40"/>
        <w:rPr/>
      </w:pPr>
      <w:r>
        <w:rPr>
          <w:rFonts w:eastAsia="Calibri"/>
          <w:b/>
          <w:i w:val="false"/>
          <w:color w:val="1B2A4A"/>
          <w:sz w:val="23"/>
        </w:rPr>
        <w:t>Änderungsprotokoll</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Datum</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Bisherige Versionsnummer</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Neue Versionsnummer</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Betroffene Regel</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Bisherige Formulierung</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Vorgesehene neue Formulierung</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Welches konkret bezeichnete Problem soll gelöst werden?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Auf welchen dokumentierten Entscheidungen beruht der Befund?</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Einzelbeobachtung, wiederholter Hinweis oder belastbareres Muster?</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Muss ein akutes Risiko sofort begrenzt werden?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Welche Wirkung wird von der neuen Regel erwartet?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Welche sinnvollen Handlungen könnte die neue Regel erschweren?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Wann und anhand welcher Kriterien wird sie überprüft?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Unter welcher Bedingung wird die Änderung zurückgenommen?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pPr>
      <w:r>
        <w:rPr>
          <w:rFonts w:eastAsia="Calibri"/>
          <w:b/>
          <w:i w:val="false"/>
          <w:color w:val="1B2A4A"/>
          <w:sz w:val="23"/>
        </w:rPr>
        <w:t>Abkühlungs- und Freigaberegel</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Vorgesehene Abkühlungsphase</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Die neue Regel gilt ab</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Überprüfungstermin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rPr/>
      </w:pPr>
      <w:r>
        <w:rPr>
          <w:rFonts w:eastAsia="Calibri"/>
          <w:b w:val="false"/>
          <w:i w:val="false"/>
          <w:color w:val="1A1A1A"/>
          <w:sz w:val="21"/>
        </w:rPr>
        <w:t>Werden historische Daten verwendet, die bereits zur Entwicklung der neuen Regel dienten?</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4933"/>
        <w:gridCol w:w="4933"/>
      </w:tblGrid>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Nein</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Ja – Einschränkung unten notieren</w:t>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Einschränkung bei Wiederverwendung derselben Daten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rPr/>
      </w:pPr>
      <w:r>
        <w:rPr>
          <w:rFonts w:eastAsia="Calibri"/>
          <w:b w:val="false"/>
          <w:i w:val="false"/>
          <w:color w:val="1A1A1A"/>
          <w:sz w:val="21"/>
        </w:rPr>
        <w:t>Die Änderung wurde nicht allein vorgenommen wegen:</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4933"/>
        <w:gridCol w:w="4933"/>
      </w:tblGrid>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eines einzelnen Gewinns</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eines einzelnen Verlusts</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kurzfristiger Angst</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FOMO</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des Wunsches, eine bereits verletzte Grenze nachträglich zu verschieben</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des Versuchs, eine offene Position zu retten</w:t>
            </w:r>
          </w:p>
        </w:tc>
      </w:tr>
    </w:tbl>
    <w:p>
      <w:pPr>
        <w:pStyle w:val="Normal"/>
        <w:rPr/>
      </w:pPr>
      <w:r>
        <w:rPr/>
      </w:r>
    </w:p>
    <w:p>
      <w:pPr>
        <w:pStyle w:val="Normal"/>
        <w:spacing w:before="240" w:after="80"/>
        <w:rPr/>
      </w:pPr>
      <w:r>
        <w:rPr>
          <w:rFonts w:eastAsia="Calibri"/>
          <w:b/>
          <w:i w:val="false"/>
          <w:color w:val="1B2A4A"/>
          <w:sz w:val="26"/>
        </w:rPr>
        <w:t>Abschlusskontrolle</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4933"/>
        <w:gridCol w:w="4933"/>
      </w:tblGrid>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Investor- und Traderregeln sind getrennt</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Risiko ist in Geld und Anteil bestimmt</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Invalidation steht vor dem Einstieg fest</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Wenn-dann-Regeln haben beobachtbare Auslöser</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Notfallplan ist ausgefüllt</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Nächster Prüfungstermin ist gesetzt</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Version und Datum sind eingetragen</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Keine Änderung nur wegen einer offenen Position</w:t>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Gesamtstatus</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Noch erforderliche Handlung</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Bearbeitet am / durch</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widowControl/>
        <w:bidi w:val="0"/>
        <w:spacing w:lineRule="auto" w:line="259" w:before="0" w:after="80"/>
        <w:jc w:val="start"/>
        <w:rPr/>
      </w:pPr>
      <w: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020" w:right="1020" w:gutter="0" w:header="397" w:top="907" w:footer="397" w:bottom="10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Calibri">
    <w:charset w:val="00" w:characterSet="windows-1252"/>
    <w:family w:val="roman"/>
    <w:pitch w:val="variable"/>
  </w:font>
  <w:font w:name="Courier">
    <w:altName w:val="Courier New"/>
    <w:charset w:val="00" w:characterSet="windows-1252"/>
    <w:family w:val="roman"/>
    <w:pitch w:val="variable"/>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Fonts w:eastAsia="Calibri"/>
        <w:b w:val="false"/>
        <w:i w:val="false"/>
        <w:color w:val="4A5568"/>
        <w:sz w:val="18"/>
      </w:rPr>
      <w:t xml:space="preserve">Anhang D  ·  Keine Anlageberatung  ·  Seite </w:t>
    </w:r>
    <w:r>
      <w:rPr/>
      <w:fldChar w:fldCharType="begin"/>
    </w:r>
    <w:r>
      <w:rPr/>
      <w:instrText xml:space="preserve"> PAGE </w:instrText>
    </w:r>
    <w:r>
      <w:rPr/>
      <w:fldChar w:fldCharType="separate"/>
    </w:r>
    <w:r>
      <w:rPr/>
      <w:t>9</w:t>
    </w:r>
    <w:r>
      <w:rPr/>
      <w:fldChar w:fldCharType="end"/>
    </w:r>
    <w:r>
      <w:rPr>
        <w:rFonts w:eastAsia="Calibri"/>
        <w:b w:val="false"/>
        <w:i w:val="false"/>
        <w:color w:val="4A5568"/>
        <w:sz w:val="18"/>
      </w:rPr>
      <w:t xml:space="preserve">  ·  Keine Renditegarantie</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Fonts w:eastAsia="Calibri"/>
        <w:b w:val="false"/>
        <w:i w:val="false"/>
        <w:color w:val="4A5568"/>
        <w:sz w:val="18"/>
      </w:rPr>
      <w:t xml:space="preserve">Anhang D  ·  Keine Anlageberatung  ·  Seite </w:t>
    </w:r>
    <w:r>
      <w:rPr/>
      <w:fldChar w:fldCharType="begin"/>
    </w:r>
    <w:r>
      <w:rPr/>
      <w:instrText xml:space="preserve"> PAGE </w:instrText>
    </w:r>
    <w:r>
      <w:rPr/>
      <w:fldChar w:fldCharType="separate"/>
    </w:r>
    <w:r>
      <w:rPr/>
      <w:t>9</w:t>
    </w:r>
    <w:r>
      <w:rPr/>
      <w:fldChar w:fldCharType="end"/>
    </w:r>
    <w:r>
      <w:rPr>
        <w:rFonts w:eastAsia="Calibri"/>
        <w:b w:val="false"/>
        <w:i w:val="false"/>
        <w:color w:val="4A5568"/>
        <w:sz w:val="18"/>
      </w:rPr>
      <w:t xml:space="preserve">  ·  Keine Renditegarantie</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Fonts w:eastAsia="Calibri"/>
        <w:b w:val="false"/>
        <w:i w:val="false"/>
        <w:color w:val="4A5568"/>
        <w:sz w:val="18"/>
      </w:rPr>
      <w:t>Kapital und Kopf  ·  Arbeitsblatt  ·  Stand 2026</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Fonts w:eastAsia="Calibri"/>
        <w:b w:val="false"/>
        <w:i w:val="false"/>
        <w:color w:val="4A5568"/>
        <w:sz w:val="18"/>
      </w:rPr>
      <w:t>Kapital und Kopf  ·  Arbeitsblatt  ·  Stand 2026</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bidi w:val="0"/>
      <w:spacing w:lineRule="auto" w:line="259" w:before="0" w:after="80"/>
      <w:jc w:val="start"/>
    </w:pPr>
    <w:rPr>
      <w:rFonts w:ascii="Calibri" w:hAnsi="Calibri" w:eastAsia="ＭＳ 明朝" w:cs=""/>
      <w:color w:val="1A1A1A"/>
      <w:kern w:val="0"/>
      <w:sz w:val="22"/>
      <w:szCs w:val="22"/>
      <w:lang w:val="en-US" w:eastAsia="en-US" w:bidi="ar-SA"/>
    </w:rPr>
  </w:style>
  <w:style w:type="paragraph" w:styleId="Heading1">
    <w:name w:val="heading 1"/>
    <w:basedOn w:val="Normal"/>
    <w:next w:val="Normal"/>
    <w:link w:val="Heading1Char"/>
    <w:uiPriority w:val="9"/>
    <w:qFormat/>
    <w:rsid w:val="00fc693f"/>
    <w:pPr>
      <w:keepNext w:val="true"/>
      <w:keepLines/>
      <w:spacing w:before="480" w:after="0"/>
      <w:outlineLvl w:val="0"/>
    </w:pPr>
    <w:rPr>
      <w:rFonts w:ascii="Calibri" w:hAnsi="Calibri" w:eastAsia="ＭＳ ゴシック"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Heading2Char"/>
    <w:uiPriority w:val="9"/>
    <w:unhideWhenUsed/>
    <w:qFormat/>
    <w:rsid w:val="00fc693f"/>
    <w:pPr>
      <w:keepNext w:val="true"/>
      <w:keepLines/>
      <w:spacing w:before="200" w:after="0"/>
      <w:outlineLvl w:val="1"/>
    </w:pPr>
    <w:rPr>
      <w:rFonts w:ascii="Calibri" w:hAnsi="Calibri" w:eastAsia="ＭＳ ゴシック" w:cs="" w:asciiTheme="majorHAnsi" w:cstheme="majorBidi" w:eastAsiaTheme="majorEastAsia" w:hAnsiTheme="majorHAnsi"/>
      <w:b/>
      <w:bCs/>
      <w:color w:themeColor="accent1" w:val="4F81BD"/>
      <w:sz w:val="26"/>
      <w:szCs w:val="26"/>
    </w:rPr>
  </w:style>
  <w:style w:type="paragraph" w:styleId="Heading3">
    <w:name w:val="heading 3"/>
    <w:basedOn w:val="Normal"/>
    <w:next w:val="Normal"/>
    <w:link w:val="Heading3Char"/>
    <w:uiPriority w:val="9"/>
    <w:unhideWhenUsed/>
    <w:qFormat/>
    <w:rsid w:val="00fc693f"/>
    <w:pPr>
      <w:keepNext w:val="true"/>
      <w:keepLines/>
      <w:spacing w:before="200" w:after="0"/>
      <w:outlineLvl w:val="2"/>
    </w:pPr>
    <w:rPr>
      <w:rFonts w:ascii="Calibri" w:hAnsi="Calibri" w:eastAsia="ＭＳ ゴシック" w:cs="" w:asciiTheme="majorHAnsi" w:cstheme="majorBidi" w:eastAsiaTheme="majorEastAsia" w:hAnsiTheme="majorHAnsi"/>
      <w:b/>
      <w:bCs/>
      <w:color w:themeColor="accent1" w:val="4F81BD"/>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ＭＳ ゴシック" w:cs="" w:asciiTheme="majorHAnsi" w:cstheme="majorBidi" w:eastAsiaTheme="majorEastAsia" w:hAnsiTheme="majorHAnsi"/>
      <w:b/>
      <w:bCs/>
      <w:i/>
      <w:iCs/>
      <w:color w:themeColor="accent1" w:val="4F81BD"/>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ＭＳ ゴシック" w:cs="" w:asciiTheme="majorHAnsi" w:cstheme="majorBidi" w:eastAsiaTheme="majorEastAsia" w:hAnsiTheme="majorHAnsi"/>
      <w:color w:themeColor="accent1" w:themeShade="7f" w:val="243F6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ＭＳ ゴシック" w:cs="" w:asciiTheme="majorHAnsi" w:cstheme="majorBidi" w:eastAsiaTheme="majorEastAsia" w:hAnsiTheme="majorHAnsi"/>
      <w:i/>
      <w:iCs/>
      <w:color w:themeColor="accent1" w:themeShade="7f" w:val="243F6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ＭＳ ゴシック" w:cs="" w:asciiTheme="majorHAnsi" w:cstheme="majorBidi" w:eastAsiaTheme="majorEastAsia" w:hAnsiTheme="majorHAnsi"/>
      <w:i/>
      <w:iCs/>
      <w:color w:themeColor="text1" w:themeTint="bf" w:val="40404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ＭＳ ゴシック" w:cs="" w:asciiTheme="majorHAnsi" w:cstheme="majorBidi" w:eastAsiaTheme="majorEastAsia" w:hAnsiTheme="majorHAnsi"/>
      <w:color w:themeColor="accent1" w:val="4F81BD"/>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HeaderChar" w:customStyle="1">
    <w:name w:val="Header Char"/>
    <w:basedOn w:val="DefaultParagraphFont"/>
    <w:uiPriority w:val="99"/>
    <w:qFormat/>
    <w:rsid w:val="00e618bf"/>
    <w:rPr/>
  </w:style>
  <w:style w:type="character" w:styleId="FooterChar" w:customStyle="1">
    <w:name w:val="Footer Char"/>
    <w:basedOn w:val="DefaultParagraphFont"/>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uiPriority w:val="9"/>
    <w:qFormat/>
    <w:rsid w:val="00fc693f"/>
    <w:rPr>
      <w:rFonts w:ascii="Calibri" w:hAnsi="Calibri" w:eastAsia="ＭＳ ゴシック"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uiPriority w:val="9"/>
    <w:qFormat/>
    <w:rsid w:val="00fc693f"/>
    <w:rPr>
      <w:rFonts w:ascii="Calibri" w:hAnsi="Calibri" w:eastAsia="ＭＳ ゴシック"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uiPriority w:val="9"/>
    <w:qFormat/>
    <w:rsid w:val="00fc693f"/>
    <w:rPr>
      <w:rFonts w:ascii="Calibri" w:hAnsi="Calibri" w:eastAsia="ＭＳ ゴシック" w:cs="" w:asciiTheme="majorHAnsi" w:cstheme="majorBidi" w:eastAsiaTheme="majorEastAsia" w:hAnsiTheme="majorHAnsi"/>
      <w:b/>
      <w:bCs/>
      <w:color w:themeColor="accent1" w:val="4F81BD"/>
    </w:rPr>
  </w:style>
  <w:style w:type="character" w:styleId="TitleChar" w:customStyle="1">
    <w:name w:val="Title Char"/>
    <w:basedOn w:val="DefaultParagraphFont"/>
    <w:uiPriority w:val="10"/>
    <w:qFormat/>
    <w:rsid w:val="00fc693f"/>
    <w:rPr>
      <w:rFonts w:ascii="Calibri" w:hAnsi="Calibri" w:eastAsia="ＭＳ ゴシック"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uiPriority w:val="11"/>
    <w:qFormat/>
    <w:rsid w:val="00fc693f"/>
    <w:rPr>
      <w:rFonts w:ascii="Calibri" w:hAnsi="Calibri" w:eastAsia="ＭＳ ゴシック"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uiPriority w:val="9"/>
    <w:semiHidden/>
    <w:qFormat/>
    <w:rsid w:val="00fc693f"/>
    <w:rPr>
      <w:rFonts w:ascii="Calibri" w:hAnsi="Calibri" w:eastAsia="ＭＳ ゴシック" w:cs="" w:asciiTheme="majorHAnsi" w:cstheme="majorBidi" w:eastAsiaTheme="majorEastAsia" w:hAnsiTheme="majorHAnsi"/>
      <w:b/>
      <w:bCs/>
      <w:i/>
      <w:iCs/>
      <w:color w:themeColor="accent1" w:val="4F81BD"/>
    </w:rPr>
  </w:style>
  <w:style w:type="character" w:styleId="Heading5Char" w:customStyle="1">
    <w:name w:val="Heading 5 Char"/>
    <w:basedOn w:val="DefaultParagraphFont"/>
    <w:uiPriority w:val="9"/>
    <w:semiHidden/>
    <w:qFormat/>
    <w:rsid w:val="00fc693f"/>
    <w:rPr>
      <w:rFonts w:ascii="Calibri" w:hAnsi="Calibri" w:eastAsia="ＭＳ ゴシック" w:cs="" w:asciiTheme="majorHAnsi" w:cstheme="majorBidi" w:eastAsiaTheme="majorEastAsia" w:hAnsiTheme="majorHAnsi"/>
      <w:color w:themeColor="accent1" w:themeShade="7f" w:val="243F60"/>
    </w:rPr>
  </w:style>
  <w:style w:type="character" w:styleId="Heading6Char" w:customStyle="1">
    <w:name w:val="Heading 6 Char"/>
    <w:basedOn w:val="DefaultParagraphFont"/>
    <w:uiPriority w:val="9"/>
    <w:semiHidden/>
    <w:qFormat/>
    <w:rsid w:val="00fc693f"/>
    <w:rPr>
      <w:rFonts w:ascii="Calibri" w:hAnsi="Calibri" w:eastAsia="ＭＳ ゴシック"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uiPriority w:val="9"/>
    <w:semiHidden/>
    <w:qFormat/>
    <w:rsid w:val="00fc693f"/>
    <w:rPr>
      <w:rFonts w:ascii="Calibri" w:hAnsi="Calibri" w:eastAsia="ＭＳ ゴシック"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uiPriority w:val="9"/>
    <w:semiHidden/>
    <w:qFormat/>
    <w:rsid w:val="00fc693f"/>
    <w:rPr>
      <w:rFonts w:ascii="Calibri" w:hAnsi="Calibri" w:eastAsia="ＭＳ ゴシック"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uiPriority w:val="9"/>
    <w:semiHidden/>
    <w:qFormat/>
    <w:rsid w:val="00fc693f"/>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paragraph" w:styleId="berschrift">
    <w:name w:val="Überschrift"/>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BodyTextChar"/>
    <w:uiPriority w:val="99"/>
    <w:unhideWhenUsed/>
    <w:rsid w:val="00aa1d8d"/>
    <w:pPr>
      <w:spacing w:before="0" w:after="120"/>
    </w:pPr>
    <w:rPr/>
  </w:style>
  <w:style w:type="paragraph" w:styleId="List">
    <w:name w:val="List"/>
    <w:basedOn w:val="Normal"/>
    <w:uiPriority w:val="99"/>
    <w:unhideWhenUsed/>
    <w:rsid w:val="00aa1d8d"/>
    <w:pPr>
      <w:spacing w:before="0" w:after="80"/>
      <w:ind w:hanging="360" w:start="360"/>
      <w:contextualSpacing/>
    </w:pPr>
    <w:rPr/>
  </w:style>
  <w:style w:type="paragraph" w:styleId="Caption">
    <w:name w:val="caption"/>
    <w:basedOn w:val="Normal"/>
    <w:next w:val="Normal"/>
    <w:uiPriority w:val="35"/>
    <w:semiHidden/>
    <w:unhideWhenUsed/>
    <w:qFormat/>
    <w:rsid w:val="00fc693f"/>
    <w:pPr>
      <w:spacing w:lineRule="auto" w:line="240"/>
    </w:pPr>
    <w:rPr>
      <w:b/>
      <w:bCs/>
      <w:color w:themeColor="accent1" w:val="4F81BD"/>
      <w:sz w:val="18"/>
      <w:szCs w:val="18"/>
    </w:rPr>
  </w:style>
  <w:style w:type="paragraph" w:styleId="Verzeichnis">
    <w:name w:val="Verzeichnis"/>
    <w:basedOn w:val="Normal"/>
    <w:qFormat/>
    <w:pPr>
      <w:suppressLineNumbers/>
    </w:pPr>
    <w:rPr>
      <w:rFonts w:cs="Lucida Sans"/>
    </w:rPr>
  </w:style>
  <w:style w:type="paragraph" w:styleId="Kopf-Fuzeile">
    <w:name w:val="Kopf-/Fußzeile"/>
    <w:basedOn w:val="Normal"/>
    <w:qFormat/>
    <w:pPr/>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bidi w:val="0"/>
      <w:spacing w:lineRule="auto" w:line="240" w:before="0" w:after="0"/>
      <w:jc w:val="start"/>
    </w:pPr>
    <w:rPr>
      <w:rFonts w:ascii="Cambria" w:hAnsi="Cambria" w:eastAsia="ＭＳ 明朝" w:cs="" w:asciiTheme="minorHAnsi" w:cstheme="minorBidi" w:eastAsiaTheme="minorEastAsia" w:hAnsiTheme="minorHAnsi"/>
      <w:color w:val="auto"/>
      <w:kern w:val="0"/>
      <w:sz w:val="22"/>
      <w:szCs w:val="22"/>
      <w:lang w:val="en-US" w:eastAsia="en-US" w:bidi="ar-SA"/>
    </w:rPr>
  </w:style>
  <w:style w:type="paragraph" w:styleId="Title">
    <w:name w:val="Title"/>
    <w:basedOn w:val="Normal"/>
    <w:next w:val="Normal"/>
    <w:link w:val="TitleChar"/>
    <w:uiPriority w:val="10"/>
    <w:qFormat/>
    <w:rsid w:val="00fc693f"/>
    <w:pPr>
      <w:pBdr>
        <w:bottom w:val="single" w:sz="8" w:space="4" w:color="4F81BD" w:themeColor="accent1"/>
      </w:pBdr>
      <w:spacing w:lineRule="auto" w:line="240" w:before="0" w:after="300"/>
      <w:contextualSpacing/>
    </w:pPr>
    <w:rPr>
      <w:rFonts w:ascii="Calibri" w:hAnsi="Calibri" w:eastAsia="ＭＳ ゴシック" w:cs="" w:asciiTheme="majorHAnsi" w:cstheme="majorBidi" w:eastAsiaTheme="majorEastAsia" w:hAnsiTheme="majorHAnsi"/>
      <w:color w:themeColor="text2" w:themeShade="bf" w:val="17365D"/>
      <w:spacing w:val="5"/>
      <w:kern w:val="2"/>
      <w:sz w:val="52"/>
      <w:szCs w:val="52"/>
    </w:rPr>
  </w:style>
  <w:style w:type="paragraph" w:styleId="Subtitle">
    <w:name w:val="Subtitle"/>
    <w:basedOn w:val="Normal"/>
    <w:next w:val="Normal"/>
    <w:link w:val="SubtitleChar"/>
    <w:uiPriority w:val="11"/>
    <w:qFormat/>
    <w:rsid w:val="00fc693f"/>
    <w:pPr/>
    <w:rPr>
      <w:rFonts w:ascii="Calibri" w:hAnsi="Calibri" w:eastAsia="ＭＳ ゴシック" w:cs="" w:asciiTheme="majorHAnsi" w:cstheme="majorBidi" w:eastAsiaTheme="majorEastAsia" w:hAnsiTheme="majorHAnsi"/>
      <w:i/>
      <w:iCs/>
      <w:color w:themeColor="accent1" w:val="4F81BD"/>
      <w:spacing w:val="15"/>
      <w:sz w:val="24"/>
      <w:szCs w:val="24"/>
    </w:rPr>
  </w:style>
  <w:style w:type="paragraph" w:styleId="ListParagraph">
    <w:name w:val="List Paragraph"/>
    <w:basedOn w:val="Normal"/>
    <w:uiPriority w:val="34"/>
    <w:qFormat/>
    <w:rsid w:val="00fc693f"/>
    <w:pPr>
      <w:spacing w:before="0" w:after="80"/>
      <w:ind w:start="720"/>
      <w:contextualSpacing/>
    </w:pPr>
    <w:rPr/>
  </w:style>
  <w:style w:type="paragraph" w:styleId="BodyText2">
    <w:name w:val="Body Text 2"/>
    <w:basedOn w:val="Normal"/>
    <w:link w:val="BodyText2Char"/>
    <w:uiPriority w:val="99"/>
    <w:unhideWhenUsed/>
    <w:qFormat/>
    <w:rsid w:val="00aa1d8d"/>
    <w:pPr>
      <w:spacing w:lineRule="auto" w:line="480" w:before="0" w:after="120"/>
    </w:pPr>
    <w:rPr/>
  </w:style>
  <w:style w:type="paragraph" w:styleId="BodyText3">
    <w:name w:val="Body Text 3"/>
    <w:basedOn w:val="Normal"/>
    <w:link w:val="BodyText3Char"/>
    <w:uiPriority w:val="99"/>
    <w:unhideWhenUsed/>
    <w:qFormat/>
    <w:rsid w:val="00aa1d8d"/>
    <w:pPr>
      <w:spacing w:before="0" w:after="120"/>
    </w:pPr>
    <w:rPr>
      <w:sz w:val="16"/>
      <w:szCs w:val="16"/>
    </w:rPr>
  </w:style>
  <w:style w:type="paragraph" w:styleId="List2">
    <w:name w:val="List 2"/>
    <w:basedOn w:val="Normal"/>
    <w:uiPriority w:val="99"/>
    <w:unhideWhenUsed/>
    <w:qFormat/>
    <w:rsid w:val="00326f90"/>
    <w:pPr>
      <w:spacing w:before="0" w:after="80"/>
      <w:ind w:hanging="360" w:start="720"/>
      <w:contextualSpacing/>
    </w:pPr>
    <w:rPr/>
  </w:style>
  <w:style w:type="paragraph" w:styleId="List3">
    <w:name w:val="List 3"/>
    <w:basedOn w:val="Normal"/>
    <w:uiPriority w:val="99"/>
    <w:unhideWhenUsed/>
    <w:qFormat/>
    <w:rsid w:val="00326f90"/>
    <w:pPr>
      <w:spacing w:before="0" w:after="80"/>
      <w:ind w:hanging="360" w:start="1080"/>
      <w:contextualSpacing/>
    </w:pPr>
    <w:rPr/>
  </w:style>
  <w:style w:type="paragraph" w:styleId="ListBullet">
    <w:name w:val="List Bullet"/>
    <w:basedOn w:val="Normal"/>
    <w:uiPriority w:val="99"/>
    <w:unhideWhenUsed/>
    <w:rsid w:val="00326f90"/>
    <w:pPr>
      <w:numPr>
        <w:ilvl w:val="0"/>
        <w:numId w:val="1"/>
      </w:numPr>
      <w:spacing w:before="0" w:after="80"/>
      <w:contextualSpacing/>
    </w:pPr>
    <w:rPr/>
  </w:style>
  <w:style w:type="paragraph" w:styleId="ListBullet2">
    <w:name w:val="List Bullet 2"/>
    <w:basedOn w:val="Normal"/>
    <w:uiPriority w:val="99"/>
    <w:unhideWhenUsed/>
    <w:rsid w:val="00326f90"/>
    <w:pPr>
      <w:numPr>
        <w:ilvl w:val="0"/>
        <w:numId w:val="2"/>
      </w:numPr>
      <w:spacing w:before="0" w:after="80"/>
      <w:contextualSpacing/>
    </w:pPr>
    <w:rPr/>
  </w:style>
  <w:style w:type="paragraph" w:styleId="ListBullet3">
    <w:name w:val="List Bullet 3"/>
    <w:basedOn w:val="Normal"/>
    <w:uiPriority w:val="99"/>
    <w:unhideWhenUsed/>
    <w:rsid w:val="00326f90"/>
    <w:pPr>
      <w:numPr>
        <w:ilvl w:val="0"/>
        <w:numId w:val="3"/>
      </w:numPr>
      <w:spacing w:before="0" w:after="80"/>
      <w:contextualSpacing/>
    </w:pPr>
    <w:rPr/>
  </w:style>
  <w:style w:type="paragraph" w:styleId="ListNumber">
    <w:name w:val="List Number"/>
    <w:basedOn w:val="Normal"/>
    <w:uiPriority w:val="99"/>
    <w:unhideWhenUsed/>
    <w:rsid w:val="00326f90"/>
    <w:pPr>
      <w:numPr>
        <w:ilvl w:val="0"/>
        <w:numId w:val="4"/>
      </w:numPr>
      <w:spacing w:before="0" w:after="80"/>
      <w:contextualSpacing/>
    </w:pPr>
    <w:rPr/>
  </w:style>
  <w:style w:type="paragraph" w:styleId="ListNumber2">
    <w:name w:val="List Number 2"/>
    <w:basedOn w:val="Normal"/>
    <w:uiPriority w:val="99"/>
    <w:unhideWhenUsed/>
    <w:rsid w:val="0029639d"/>
    <w:pPr>
      <w:numPr>
        <w:ilvl w:val="0"/>
        <w:numId w:val="5"/>
      </w:numPr>
      <w:spacing w:before="0" w:after="80"/>
      <w:contextualSpacing/>
    </w:pPr>
    <w:rPr/>
  </w:style>
  <w:style w:type="paragraph" w:styleId="ListNumber3">
    <w:name w:val="List Number 3"/>
    <w:basedOn w:val="Normal"/>
    <w:uiPriority w:val="99"/>
    <w:unhideWhenUsed/>
    <w:rsid w:val="0029639d"/>
    <w:pPr>
      <w:numPr>
        <w:ilvl w:val="0"/>
        <w:numId w:val="6"/>
      </w:numPr>
      <w:spacing w:before="0" w:after="80"/>
      <w:contextualSpacing/>
    </w:pPr>
    <w:rPr/>
  </w:style>
  <w:style w:type="paragraph" w:styleId="ListContinue">
    <w:name w:val="List Continue"/>
    <w:basedOn w:val="Normal"/>
    <w:uiPriority w:val="99"/>
    <w:unhideWhenUsed/>
    <w:rsid w:val="0029639d"/>
    <w:pPr>
      <w:spacing w:before="0" w:after="120"/>
      <w:ind w:start="360"/>
      <w:contextualSpacing/>
    </w:pPr>
    <w:rPr/>
  </w:style>
  <w:style w:type="paragraph" w:styleId="ListContinue2">
    <w:name w:val="List Continue 2"/>
    <w:basedOn w:val="Normal"/>
    <w:uiPriority w:val="99"/>
    <w:unhideWhenUsed/>
    <w:rsid w:val="0029639d"/>
    <w:pPr>
      <w:spacing w:before="0" w:after="120"/>
      <w:ind w:start="720"/>
      <w:contextualSpacing/>
    </w:pPr>
    <w:rPr/>
  </w:style>
  <w:style w:type="paragraph" w:styleId="ListContinue3">
    <w:name w:val="List Continue 3"/>
    <w:basedOn w:val="Normal"/>
    <w:uiPriority w:val="99"/>
    <w:unhideWhenUsed/>
    <w:rsid w:val="0029639d"/>
    <w:pPr>
      <w:spacing w:before="0" w:after="120"/>
      <w:ind w:start="1080"/>
      <w:contextualSpacing/>
    </w:pPr>
    <w:rPr/>
  </w:style>
  <w:style w:type="paragraph" w:styleId="MacroText">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bidi w:val="0"/>
      <w:spacing w:lineRule="auto" w:line="276" w:before="0" w:after="200"/>
      <w:jc w:val="start"/>
    </w:pPr>
    <w:rPr>
      <w:rFonts w:ascii="Courier" w:hAnsi="Courier" w:eastAsia="ＭＳ 明朝" w:cs="" w:cstheme="minorBidi" w:eastAsiaTheme="minorEastAsia"/>
      <w:color w:val="auto"/>
      <w:kern w:val="0"/>
      <w:sz w:val="20"/>
      <w:szCs w:val="20"/>
      <w:lang w:val="en-US" w:eastAsia="en-US" w:bidi="ar-SA"/>
    </w:rPr>
  </w:style>
  <w:style w:type="paragraph" w:styleId="Quote">
    <w:name w:val="Quote"/>
    <w:basedOn w:val="Normal"/>
    <w:next w:val="Normal"/>
    <w:link w:val="QuoteChar"/>
    <w:uiPriority w:val="29"/>
    <w:qFormat/>
    <w:rsid w:val="00fc693f"/>
    <w:pPr/>
    <w:rPr>
      <w:i/>
      <w:iCs/>
      <w:color w:themeColor="text1" w:val="000000"/>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start="936" w:end="936"/>
    </w:pPr>
    <w:rPr>
      <w:b/>
      <w:bCs/>
      <w:i/>
      <w:iCs/>
      <w:color w:themeColor="accent1" w:val="4F81BD"/>
    </w:rPr>
  </w:style>
  <w:style w:type="paragraph" w:styleId="IndexHeading">
    <w:name w:val="index heading"/>
    <w:basedOn w:val="berschrift"/>
    <w:pPr/>
    <w:rPr/>
  </w:style>
  <w:style w:type="paragraph" w:styleId="TOCHeading">
    <w:name w:val="TOC Heading"/>
    <w:basedOn w:val="Heading1"/>
    <w:next w:val="Normal"/>
    <w:uiPriority w:val="39"/>
    <w:semiHidden/>
    <w:unhideWhenUsed/>
    <w:qFormat/>
    <w:rsid w:val="00fc693f"/>
    <w:pPr>
      <w:outlineLvl w:val="9"/>
    </w:pPr>
    <w:rPr/>
  </w:style>
  <w:style w:type="numbering" w:styleId="KeineListe" w:default="1">
    <w:name w:val="Keine Liste"/>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ns0:Properties xmlns:ns0="http://schemas.openxmlformats.org/officeDocument/2006/extended-properties">
  <ns0:Template>Normal.dotm</ns0:Template>
  <ns0:TotalTime>3</ns0:TotalTime>
  <ns0:Application>LibreOffice/26.2.5.2$Windows_X86_64 LibreOffice_project/cd7284b4cbbfeb507e630c1aac019f4157393acb</ns0:Application>
  <ns0:AppVersion>15.0000</ns0:AppVersion>
  <ns0:Pages>9</ns0:Pages>
  <ns0:Words>1062</ns0:Words>
  <ns0:Characters>7383</ns0:Characters>
  <ns0:CharactersWithSpaces>8306</ns0:CharactersWithSpaces>
  <ns0:Paragraphs>201</ns0:Paragraphs>
  <ns0:Company>Nexaplex</ns0:Company>
  <ns0:Manager>Michael Schütz</ns0:Manager>
</ns0: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2026-09-01T00:00:00Z</dcterms:created>
  <dc:creator>Michael Schütz</dc:creator>
  <dc:description>Arbeitsblatt zum Buch. Keine Anlageberatung. © 2026 Michael Schütz. Alle Rechte vorbehalten.</dc:description>
  <dc:language>de-DE</dc:language>
  <cp:lastModifiedBy>Michael Schütz</cp:lastModifiedBy>
  <dcterms:modified xsi:type="dcterms:W3CDTF">2026-09-13T12:11:19Z</dcterms:modified>
  <cp:revision>3</cp:revision>
  <dc:subject>Kapital und Kopf · Entscheidungen</dc:subject>
  <dc:title>Anhang D — Mein persönlicher Entscheidungsplan</dc:title>
  <cp:keywords>Kapital und Kopf, Entscheidungsplan, Journal, Nexaplex</cp:keywords>
  <cp:category>Arbeitsblatt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 2026 Michael Schütz. Alle Rechte vorbehalten.</vt:lpwstr>
  </property>
  <property fmtid="{D5CDD505-2E9C-101B-9397-08002B2CF9AE}" pid="3" name="Company">
    <vt:lpwstr>Nexaplex</vt:lpwstr>
  </property>
</Properties>
</file>