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865" w:type="dxa"/>
        <w:jc w:val="start"/>
        <w:tblInd w:w="115" w:type="dxa"/>
        <w:tblLayout w:type="fixed"/>
        <w:tblCellMar>
          <w:top w:w="80" w:type="dxa"/>
          <w:start w:w="120" w:type="dxa"/>
          <w:bottom w:w="40" w:type="dxa"/>
          <w:end w:w="120" w:type="dxa"/>
        </w:tblCellMar>
        <w:tblLook w:val="04a0" w:firstRow="1" w:noVBand="1" w:lastRow="0" w:firstColumn="1" w:lastColumn="0" w:noHBand="0"/>
      </w:tblPr>
      <w:tblGrid>
        <w:gridCol w:w="9865"/>
      </w:tblGrid>
      <w:tr>
        <w:trPr/>
        <w:tc>
          <w:tcPr>
            <w:tcW w:w="9865" w:type="dxa"/>
            <w:tcBorders>
              <w:top w:val="single" w:sz="4" w:space="0" w:color="1B2A4A"/>
              <w:start w:val="single" w:sz="4" w:space="0" w:color="1B2A4A"/>
              <w:bottom w:val="single" w:sz="4" w:space="0" w:color="1B2A4A"/>
              <w:end w:val="single" w:sz="4" w:space="0" w:color="1B2A4A"/>
            </w:tcBorders>
            <w:shd w:fill="1B2A4A" w:val="clear"/>
          </w:tcPr>
          <w:p>
            <w:pPr>
              <w:pStyle w:val="Normal"/>
              <w:widowControl/>
              <w:bidi w:val="0"/>
              <w:spacing w:lineRule="auto" w:line="259" w:before="0" w:after="80"/>
              <w:jc w:val="start"/>
              <w:rPr/>
            </w:pPr>
            <w:r>
              <w:rPr>
                <w:rFonts w:eastAsia="Calibri"/>
                <w:b/>
                <w:i w:val="false"/>
                <w:color w:val="FFFFFF"/>
                <w:sz w:val="22"/>
              </w:rPr>
              <w:t>ANHANG E</w:t>
            </w:r>
          </w:p>
        </w:tc>
      </w:tr>
      <w:tr>
        <w:trPr/>
        <w:tc>
          <w:tcPr>
            <w:tcW w:w="9865" w:type="dxa"/>
            <w:tcBorders>
              <w:top w:val="single" w:sz="4" w:space="0" w:color="1B2A4A"/>
              <w:start w:val="single" w:sz="4" w:space="0" w:color="1B2A4A"/>
              <w:bottom w:val="single" w:sz="4" w:space="0" w:color="1B2A4A"/>
              <w:end w:val="single" w:sz="4" w:space="0" w:color="1B2A4A"/>
            </w:tcBorders>
            <w:shd w:fill="E8EEF4" w:val="clear"/>
            <w:tcMar>
              <w:bottom w:w="80" w:type="dxa"/>
            </w:tcMar>
          </w:tcPr>
          <w:p>
            <w:pPr>
              <w:pStyle w:val="Normal"/>
              <w:widowControl/>
              <w:bidi w:val="0"/>
              <w:spacing w:lineRule="auto" w:line="259" w:before="0" w:after="80"/>
              <w:jc w:val="start"/>
              <w:rPr/>
            </w:pPr>
            <w:r>
              <w:rPr>
                <w:rFonts w:eastAsia="Calibri"/>
                <w:b/>
                <w:i w:val="false"/>
                <w:color w:val="1B2A4A"/>
                <w:sz w:val="32"/>
              </w:rPr>
              <w:t>Entscheidungsjournal</w:t>
            </w:r>
          </w:p>
        </w:tc>
      </w:tr>
    </w:tbl>
    <w:p>
      <w:pPr>
        <w:pStyle w:val="Normal"/>
        <w:spacing w:before="200" w:after="120"/>
        <w:rPr/>
      </w:pPr>
      <w:r>
        <w:rPr>
          <w:rFonts w:eastAsia="Calibri"/>
          <w:b w:val="false"/>
          <w:i w:val="false"/>
          <w:color w:val="4A5568"/>
          <w:sz w:val="21"/>
        </w:rPr>
        <w:t>Ein Entscheidungsjournal ist keine Sammlung nachträglicher Erklärungen. Sein Wert entsteht dadurch, dass Informationen, Erwartungen und Regeln festgehalten werden, bevor der Ausgang bekannt ist. Die Einträge müssen konkret genug sein, um später zwischen Erinnerung und dokumentierter Entscheidung unterscheiden zu können.</w:t>
      </w:r>
    </w:p>
    <w:tbl>
      <w:tblPr>
        <w:tblW w:w="9865" w:type="dxa"/>
        <w:jc w:val="start"/>
        <w:tblInd w:w="95" w:type="dxa"/>
        <w:tblLayout w:type="fixed"/>
        <w:tblCellMar>
          <w:top w:w="70" w:type="dxa"/>
          <w:start w:w="100" w:type="dxa"/>
          <w:bottom w:w="70" w:type="dxa"/>
          <w:end w:w="100" w:type="dxa"/>
        </w:tblCellMar>
        <w:tblLook w:val="04a0" w:firstRow="1" w:noVBand="1" w:lastRow="0" w:firstColumn="1" w:lastColumn="0" w:noHBand="0"/>
      </w:tblPr>
      <w:tblGrid>
        <w:gridCol w:w="9865"/>
      </w:tblGrid>
      <w:tr>
        <w:trPr/>
        <w:tc>
          <w:tcPr>
            <w:tcW w:w="9865" w:type="dxa"/>
            <w:tcBorders>
              <w:top w:val="single" w:sz="4" w:space="0" w:color="D4CBB8"/>
              <w:start w:val="single" w:sz="4" w:space="0" w:color="D4CBB8"/>
              <w:bottom w:val="single" w:sz="4" w:space="0" w:color="D4CBB8"/>
              <w:end w:val="single" w:sz="4" w:space="0" w:color="D4CBB8"/>
            </w:tcBorders>
            <w:shd w:fill="F4F1EA" w:val="clear"/>
          </w:tcPr>
          <w:p>
            <w:pPr>
              <w:pStyle w:val="Normal"/>
              <w:widowControl/>
              <w:bidi w:val="0"/>
              <w:spacing w:lineRule="auto" w:line="259" w:before="0" w:after="80"/>
              <w:jc w:val="start"/>
              <w:rPr/>
            </w:pPr>
            <w:r>
              <w:rPr>
                <w:rFonts w:eastAsia="Calibri"/>
                <w:b w:val="false"/>
                <w:i/>
                <w:color w:val="1B2A4A"/>
                <w:sz w:val="20"/>
              </w:rPr>
              <w:t>Drei Zeitpunkte getrennt halten: vor der Entscheidung, während der Position, nach dem Ergebnis. Ausgefüllte Beispiele bleiben im Buch (E.4 und E.5). Dieses Blatt ist leer zum eigenen Gebrauch. Keine Anlageberatung, keine Renditegarantie. Zu den Kapiteln 11 und 9.5.</w:t>
            </w:r>
          </w:p>
        </w:tc>
      </w:tr>
    </w:tbl>
    <w:p>
      <w:pPr>
        <w:pStyle w:val="Normal"/>
        <w:rPr/>
      </w:pPr>
      <w:r>
        <w:rPr/>
      </w:r>
    </w:p>
    <w:p>
      <w:pPr>
        <w:pStyle w:val="Normal"/>
        <w:spacing w:before="240" w:after="80"/>
        <w:rPr/>
      </w:pPr>
      <w:r>
        <w:rPr>
          <w:rFonts w:eastAsia="Calibri"/>
          <w:b/>
          <w:i w:val="false"/>
          <w:color w:val="1B2A4A"/>
          <w:sz w:val="26"/>
        </w:rPr>
        <w:t>E.1  Journal für eine einzelne Entscheidung</w:t>
      </w:r>
    </w:p>
    <w:p>
      <w:pPr>
        <w:pStyle w:val="Normal"/>
        <w:spacing w:before="160" w:after="40"/>
        <w:rPr/>
      </w:pPr>
      <w:r>
        <w:rPr>
          <w:rFonts w:eastAsia="Calibri"/>
          <w:b/>
          <w:i w:val="false"/>
          <w:color w:val="1B2A4A"/>
          <w:sz w:val="23"/>
        </w:rPr>
        <w:t>Grunddaten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Datum und Uhrzeit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Position oder Instrument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Verwendete Planversion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Art der Entscheidung</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Einstieg</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Halten</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Reduzierung</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Ausstieg</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Nicht eingegangene Position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Regel- oder Planänderung</w:t>
            </w:r>
          </w:p>
        </w:tc>
      </w:tr>
    </w:tbl>
    <w:p>
      <w:pPr>
        <w:pStyle w:val="Normal"/>
        <w:rPr/>
      </w:pPr>
      <w:r>
        <w:rPr/>
      </w:r>
    </w:p>
    <w:p>
      <w:pPr>
        <w:pStyle w:val="Normal"/>
        <w:rPr/>
      </w:pPr>
      <w:r>
        <w:rPr>
          <w:rFonts w:eastAsia="Calibri"/>
          <w:b w:val="false"/>
          <w:i w:val="false"/>
          <w:color w:val="1A1A1A"/>
          <w:sz w:val="21"/>
        </w:rPr>
        <w:t>Geltendes Regelwerk</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Investment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Trade</w:t>
            </w:r>
          </w:p>
        </w:tc>
      </w:tr>
    </w:tbl>
    <w:p>
      <w:pPr>
        <w:pStyle w:val="Normal"/>
        <w:spacing w:before="160" w:after="40"/>
        <w:rPr/>
      </w:pPr>
      <w:r>
        <w:rPr>
          <w:rFonts w:eastAsia="Calibri"/>
          <w:b/>
          <w:i w:val="false"/>
          <w:color w:val="1B2A4A"/>
          <w:sz w:val="23"/>
        </w:rPr>
        <w:t>Zeitpunkt 1 – Vor der Entscheidung</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1. Zweck der Handlung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2. Entscheidungsrelevante Informationen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Noch unsichere oder fehlende Informationen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Bewusst als nicht relevant eingeordnet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3. Tragende Annahme, These oder Setup</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Entwicklung, die die Annahme schwächt oder das Setup invalidiert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4. Stärkstes Gegenargument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Welche Handlungsalternativen bestehen?</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keine Position eröffnen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bestehende Position unverändert halten</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kleinere Position wählen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Einstieg oder Entscheidung verschieben</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Andere Alternative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Warum wurde die gewählte Handlung vorgezogen?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5. Risiko</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Positionsgröße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Risiko in Geld</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Risiko in Prozent des Portfolios oder Kontos</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Maximal vorgesehener Verlust oder andere Risikogrenze</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Ausführungs-, Liquiditäts- oder Korrelationsrisiken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6. Auslöser und geplante Reaktion</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Auslöser, die eine erneute Prüfung verlangen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Vorgesehene Reaktion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Ausstiegs-, Reduktions- oder Invalidationsbedingungen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Nächster regulärer Überprüfungstermin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rFonts w:ascii="Calibri" w:hAnsi="Calibri" w:eastAsia="Calibri"/>
          <w:b/>
          <w:i w:val="false"/>
          <w:color w:val="1B2A4A"/>
          <w:sz w:val="23"/>
        </w:rPr>
      </w:pPr>
      <w:r>
        <w:rPr>
          <w:rFonts w:eastAsia="Calibri"/>
          <w:b/>
          <w:i w:val="false"/>
          <w:color w:val="1B2A4A"/>
          <w:sz w:val="23"/>
        </w:rPr>
        <w:t>7. Zustand vor der Entscheidung</w:t>
      </w:r>
    </w:p>
    <w:p>
      <w:pPr>
        <w:pStyle w:val="Normal"/>
        <w:rPr/>
      </w:pPr>
      <w:r>
        <w:rPr>
          <w:rFonts w:eastAsia="Calibri"/>
          <w:b w:val="false"/>
          <w:i w:val="false"/>
          <w:color w:val="1A1A1A"/>
          <w:sz w:val="21"/>
        </w:rPr>
        <w:t>Zeitdruck</w:t>
      </w:r>
    </w:p>
    <w:tbl>
      <w:tblPr>
        <w:tblW w:w="9867"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3289"/>
        <w:gridCol w:w="3289"/>
        <w:gridCol w:w="3289"/>
      </w:tblGrid>
      <w:tr>
        <w:trPr/>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niedrig</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mittel</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hoch</w:t>
            </w:r>
          </w:p>
        </w:tc>
      </w:tr>
    </w:tbl>
    <w:p>
      <w:pPr>
        <w:pStyle w:val="Normal"/>
        <w:rPr/>
      </w:pPr>
      <w:r>
        <w:rPr/>
      </w:r>
    </w:p>
    <w:p>
      <w:pPr>
        <w:pStyle w:val="Normal"/>
        <w:rPr/>
      </w:pPr>
      <w:r>
        <w:rPr>
          <w:rFonts w:eastAsia="Calibri"/>
          <w:b w:val="false"/>
          <w:i w:val="false"/>
          <w:color w:val="1A1A1A"/>
          <w:sz w:val="21"/>
        </w:rPr>
        <w:t>Emotionale Aktivierung</w:t>
      </w:r>
    </w:p>
    <w:tbl>
      <w:tblPr>
        <w:tblW w:w="9867"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3289"/>
        <w:gridCol w:w="3289"/>
        <w:gridCol w:w="3289"/>
      </w:tblGrid>
      <w:tr>
        <w:trPr/>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niedrig</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mittel</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hoch</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Körperliche oder mentale Warnsignale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Handlung aus dem Plan oder aus dem Wunsch nach Erleichterung?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pPr>
      <w:r>
        <w:rPr>
          <w:rFonts w:eastAsia="Calibri"/>
          <w:b/>
          <w:i w:val="false"/>
          <w:color w:val="1B2A4A"/>
          <w:sz w:val="23"/>
        </w:rPr>
        <w:t>8. Prozessprüfung vor der Ausführung</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Das geltende Regelwerk ist eindeutig</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Zweck und tragende Annahme sind dokumentiert</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Risiko und Positionsgröße sind bestimmt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Gegenargumente wurden geprüft</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Auslöser und vorgesehene Reaktion stehen fest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Die Entscheidung wäre auch bei ungünstigem erstem Ergebnis vertretbar</w:t>
            </w:r>
          </w:p>
        </w:tc>
      </w:tr>
    </w:tbl>
    <w:p>
      <w:pPr>
        <w:pStyle w:val="Normal"/>
        <w:rPr/>
      </w:pPr>
      <w:r>
        <w:rPr/>
      </w:r>
    </w:p>
    <w:p>
      <w:pPr>
        <w:pStyle w:val="Normal"/>
        <w:rPr/>
      </w:pPr>
      <w:r>
        <w:rPr>
          <w:rFonts w:eastAsia="Calibri"/>
          <w:b w:val="false"/>
          <w:i w:val="false"/>
          <w:color w:val="1A1A1A"/>
          <w:sz w:val="21"/>
        </w:rPr>
        <w:t>Freigabe der Entscheidung</w:t>
      </w:r>
    </w:p>
    <w:tbl>
      <w:tblPr>
        <w:tblW w:w="9867"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3289"/>
        <w:gridCol w:w="3289"/>
        <w:gridCol w:w="3289"/>
      </w:tblGrid>
      <w:tr>
        <w:trPr/>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ausführen</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noch nicht ausführen</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verwerfen</w:t>
            </w:r>
          </w:p>
        </w:tc>
      </w:tr>
    </w:tbl>
    <w:p>
      <w:pPr>
        <w:pStyle w:val="Normal"/>
        <w:rPr/>
      </w:pPr>
      <w:r>
        <w:rPr/>
      </w:r>
    </w:p>
    <w:p>
      <w:pPr>
        <w:pStyle w:val="Normal"/>
        <w:spacing w:before="160" w:after="40"/>
        <w:rPr/>
      </w:pPr>
      <w:r>
        <w:rPr>
          <w:rFonts w:eastAsia="Calibri"/>
          <w:b/>
          <w:i w:val="false"/>
          <w:color w:val="1B2A4A"/>
          <w:sz w:val="23"/>
        </w:rPr>
        <w:t>Zeitpunkt 2 – Während der Position</w:t>
      </w:r>
    </w:p>
    <w:p>
      <w:pPr>
        <w:pStyle w:val="Normal"/>
        <w:spacing w:before="200" w:after="120"/>
        <w:rPr/>
      </w:pPr>
      <w:r>
        <w:rPr>
          <w:rFonts w:eastAsia="Calibri"/>
          <w:b w:val="false"/>
          <w:i w:val="false"/>
          <w:color w:val="4A5568"/>
          <w:sz w:val="21"/>
        </w:rPr>
        <w:t>Nur ausfüllen, wenn eine neue Information, ein vorgesehener Auslöser oder ein außerplanmäßiger Handlungsimpuls auftritt.</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Datum und Uhrzeit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Was ist geschehen?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Handelt es sich um:</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 neue Tatsache</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 neue Interpretation bekannter Informationen</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 reine Kursbewegung</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einen im Plan vorgesehenen Auslöser</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einen emotionalen Handlungsimpuls</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 technische oder operative Störung</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ursprüngliche Annahme oder Regel ist betroffen?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Reaktion war im Plan vorgesehen?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Handlung wurde tatsächlich ausgeführt?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Falls Plan und Handlung abweichen: Warum?</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spacing w:before="160" w:after="40"/>
        <w:rPr>
          <w:rFonts w:ascii="Calibri" w:hAnsi="Calibri" w:eastAsia="Calibri"/>
          <w:b/>
          <w:i w:val="false"/>
          <w:color w:val="1B2A4A"/>
          <w:sz w:val="23"/>
        </w:rPr>
      </w:pPr>
      <w:r>
        <w:rPr>
          <w:rFonts w:eastAsia="Calibri"/>
          <w:b/>
          <w:i w:val="false"/>
          <w:color w:val="1B2A4A"/>
          <w:sz w:val="23"/>
        </w:rPr>
      </w:r>
      <w:r>
        <w:br w:type="page"/>
      </w:r>
    </w:p>
    <w:p>
      <w:pPr>
        <w:pStyle w:val="Normal"/>
        <w:spacing w:before="160" w:after="40"/>
        <w:rPr>
          <w:rFonts w:ascii="Calibri" w:hAnsi="Calibri" w:eastAsia="Calibri"/>
          <w:b/>
          <w:i w:val="false"/>
          <w:color w:val="1B2A4A"/>
          <w:sz w:val="23"/>
        </w:rPr>
      </w:pPr>
      <w:r>
        <w:rPr>
          <w:rFonts w:eastAsia="Calibri"/>
          <w:b/>
          <w:i w:val="false"/>
          <w:color w:val="1B2A4A"/>
          <w:sz w:val="23"/>
        </w:rPr>
        <w:t>Zeitpunkt 3 – Nach der Entscheidung</w:t>
      </w:r>
    </w:p>
    <w:p>
      <w:pPr>
        <w:pStyle w:val="Normal"/>
        <w:spacing w:before="200" w:after="120"/>
        <w:rPr/>
      </w:pPr>
      <w:r>
        <w:rPr>
          <w:rFonts w:eastAsia="Calibri"/>
          <w:b w:val="false"/>
          <w:i w:val="false"/>
          <w:color w:val="4A5568"/>
          <w:sz w:val="21"/>
        </w:rPr>
        <w:t>Die Auswertung erfolgt getrennt vom ersten emotionalen Eindruck. Ein einzelner Gewinn oder Verlust beantwortet nicht automatisch die Frage nach der Prozessqualität.</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Datum der Auswertung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Finanzielles Ergebnis</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Was geschah in der Sache?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Faktoren führten zum Ergebnis?</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Waren diese Faktoren im ursprünglichen Plan berücksichtigt?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rFonts w:ascii="Calibri" w:hAnsi="Calibri" w:eastAsia="Calibri"/>
                <w:b w:val="false"/>
                <w:i w:val="false"/>
                <w:color w:val="4A5568"/>
                <w:sz w:val="20"/>
              </w:rPr>
            </w:pPr>
            <w:r>
              <w:rPr/>
            </w:r>
          </w:p>
        </w:tc>
      </w:tr>
    </w:tbl>
    <w:p>
      <w:pPr>
        <w:pStyle w:val="Normal"/>
        <w:rPr/>
      </w:pPr>
      <w:r>
        <w:rPr/>
      </w:r>
    </w:p>
    <w:p>
      <w:pPr>
        <w:pStyle w:val="Normal"/>
        <w:rPr/>
      </w:pPr>
      <w:r>
        <w:rPr>
          <w:rFonts w:eastAsia="Calibri"/>
          <w:b w:val="false"/>
          <w:i w:val="false"/>
          <w:color w:val="1A1A1A"/>
          <w:sz w:val="21"/>
        </w:rPr>
        <w:t>Ebene 1 – Qualität der Einzelentscheidung. War die Entscheidung anhand des damaligen Informationsstands vertretbar?</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ja</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teilweise</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nein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noch nicht beurteilbar</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Begründung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bl>
    <w:p>
      <w:pPr>
        <w:pStyle w:val="Normal"/>
        <w:rPr/>
      </w:pPr>
      <w:r>
        <w:rPr/>
      </w:r>
    </w:p>
    <w:p>
      <w:pPr>
        <w:pStyle w:val="Normal"/>
        <w:rPr/>
      </w:pPr>
      <w:r>
        <w:rPr>
          <w:rFonts w:eastAsia="Calibri"/>
          <w:b w:val="false"/>
          <w:i w:val="false"/>
          <w:color w:val="1A1A1A"/>
          <w:sz w:val="21"/>
        </w:rPr>
        <w:t>Ebene 2 – Einhaltung des Regelwerks</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vollständig</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mit begründeter Abweichung</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mit unbegründeter Abweichung</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nicht beurteilbar</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Regel wurde eingehalten oder verletzt?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bl>
    <w:p>
      <w:pPr>
        <w:pStyle w:val="Normal"/>
        <w:rPr/>
      </w:pPr>
      <w:r>
        <w:rPr/>
      </w:r>
    </w:p>
    <w:p>
      <w:pPr>
        <w:pStyle w:val="Normal"/>
        <w:rPr>
          <w:rFonts w:ascii="Calibri" w:hAnsi="Calibri" w:eastAsia="Calibri"/>
          <w:b w:val="false"/>
          <w:i w:val="false"/>
          <w:color w:val="1A1A1A"/>
          <w:sz w:val="21"/>
        </w:rPr>
      </w:pPr>
      <w:r>
        <w:rPr>
          <w:rFonts w:eastAsia="Calibri"/>
          <w:b w:val="false"/>
          <w:i w:val="false"/>
          <w:color w:val="1A1A1A"/>
          <w:sz w:val="21"/>
        </w:rPr>
      </w:r>
      <w:r>
        <w:br w:type="page"/>
      </w:r>
    </w:p>
    <w:p>
      <w:pPr>
        <w:pStyle w:val="Normal"/>
        <w:rPr>
          <w:rFonts w:ascii="Calibri" w:hAnsi="Calibri" w:eastAsia="Calibri"/>
          <w:b w:val="false"/>
          <w:i w:val="false"/>
          <w:color w:val="1A1A1A"/>
          <w:sz w:val="21"/>
        </w:rPr>
      </w:pPr>
      <w:r>
        <w:rPr>
          <w:rFonts w:eastAsia="Calibri"/>
          <w:b w:val="false"/>
          <w:i w:val="false"/>
          <w:color w:val="1A1A1A"/>
          <w:sz w:val="21"/>
        </w:rPr>
        <w:t>Ebene 3 – Qualität des Regelwerks. Hinweis auf eine Schwäche des Regelwerks?</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9866"/>
      </w:tblGrid>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nein</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einzelne Beobachtung</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wiederholter Hinweis</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möglicher Musterverdacht</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belastbareres Muster</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weiteren Fälle müssen geprüft werden?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Gegenbeispiele sprechen gegen die vermutete Schwäche?</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Vier-Felder-Einordnung (vorläufig)</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Lehre unabhängig vom Ergebnis</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bl>
    <w:p>
      <w:pPr>
        <w:pStyle w:val="Normal"/>
        <w:rPr/>
      </w:pPr>
      <w:r>
        <w:rPr/>
      </w:r>
    </w:p>
    <w:p>
      <w:pPr>
        <w:pStyle w:val="Normal"/>
        <w:spacing w:before="240" w:after="80"/>
        <w:rPr/>
      </w:pPr>
      <w:r>
        <w:rPr>
          <w:rFonts w:eastAsia="Calibri"/>
          <w:b/>
          <w:i w:val="false"/>
          <w:color w:val="1B2A4A"/>
          <w:sz w:val="26"/>
        </w:rPr>
        <w:t>E.2  Regelmäßige Prozessauswertung</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Auswertungszeitraum</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Anzahl dokumentierter Entscheidungen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Davon Investments</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Davon Trades</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Davon bewusst nicht ausgeführte Entscheidungen</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Einzelne auffällige Beobachtung</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bl>
    <w:p>
      <w:pPr>
        <w:pStyle w:val="Normal"/>
        <w:rPr/>
      </w:pPr>
      <w:r>
        <w:rPr/>
      </w:r>
    </w:p>
    <w:p>
      <w:pPr>
        <w:pStyle w:val="Normal"/>
        <w:rPr/>
      </w:pPr>
      <w:r>
        <w:rPr>
          <w:rFonts w:eastAsia="Calibri"/>
          <w:b w:val="false"/>
          <w:i w:val="false"/>
          <w:color w:val="1A1A1A"/>
          <w:sz w:val="21"/>
        </w:rPr>
        <w:t>Ist dasselbe Verhalten erneut aufgetreten?</w:t>
      </w:r>
    </w:p>
    <w:tbl>
      <w:tblPr>
        <w:tblW w:w="9867"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3289"/>
        <w:gridCol w:w="3289"/>
        <w:gridCol w:w="3289"/>
      </w:tblGrid>
      <w:tr>
        <w:trPr/>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nein</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einmal</w:t>
            </w:r>
          </w:p>
        </w:tc>
        <w:tc>
          <w:tcPr>
            <w:tcW w:w="3289"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mehrfach</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Unter welchen vergleichbaren Bedingungen trat es auf?</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Entscheidungen passen nicht zu dem vermuteten Muster?</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bl>
    <w:p>
      <w:pPr>
        <w:pStyle w:val="Normal"/>
        <w:rPr/>
      </w:pPr>
      <w:r>
        <w:rPr/>
      </w:r>
    </w:p>
    <w:p>
      <w:pPr>
        <w:pStyle w:val="Normal"/>
        <w:rPr>
          <w:rFonts w:ascii="Calibri" w:hAnsi="Calibri" w:eastAsia="Calibri"/>
          <w:b w:val="false"/>
          <w:i w:val="false"/>
          <w:color w:val="1A1A1A"/>
          <w:sz w:val="21"/>
        </w:rPr>
      </w:pPr>
      <w:r>
        <w:rPr>
          <w:rFonts w:eastAsia="Calibri"/>
          <w:b w:val="false"/>
          <w:i w:val="false"/>
          <w:color w:val="1A1A1A"/>
          <w:sz w:val="21"/>
        </w:rPr>
      </w:r>
      <w:r>
        <w:br w:type="page"/>
      </w:r>
    </w:p>
    <w:p>
      <w:pPr>
        <w:pStyle w:val="Normal"/>
        <w:rPr>
          <w:rFonts w:ascii="Calibri" w:hAnsi="Calibri" w:eastAsia="Calibri"/>
          <w:b w:val="false"/>
          <w:i w:val="false"/>
          <w:color w:val="1A1A1A"/>
          <w:sz w:val="21"/>
        </w:rPr>
      </w:pPr>
      <w:r>
        <w:rPr>
          <w:rFonts w:eastAsia="Calibri"/>
          <w:b w:val="false"/>
          <w:i w:val="false"/>
          <w:color w:val="1A1A1A"/>
          <w:sz w:val="21"/>
        </w:rPr>
        <w:t>Vorläufige Einordnung</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9866"/>
      </w:tblGrid>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Einzelbeobachtung</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wiederholter Hinweis</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Musterverdacht</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belastbareres Muster</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Vermutung durch Gegenbeispiele geschwächt</w:t>
            </w:r>
          </w:p>
        </w:tc>
      </w:tr>
    </w:tbl>
    <w:p>
      <w:pPr>
        <w:pStyle w:val="Normal"/>
        <w:rPr/>
      </w:pPr>
      <w:r>
        <w:rPr/>
      </w:r>
    </w:p>
    <w:p>
      <w:pPr>
        <w:pStyle w:val="Normal"/>
        <w:spacing w:before="160" w:after="40"/>
        <w:rPr/>
      </w:pPr>
      <w:r>
        <w:rPr>
          <w:rFonts w:eastAsia="Calibri"/>
          <w:b/>
          <w:i w:val="false"/>
          <w:color w:val="1B2A4A"/>
          <w:sz w:val="23"/>
        </w:rPr>
        <w:t>Eine priorisierte Verbesserung</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Konkretes Problem für den nächsten Zeitraum</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eine Prozessänderung wird getestet?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Ab wann gilt sie?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Bis wann wird sie beobachtet?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Woran wird erkannt, ob sie hilft?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Was bleibt ausdrücklich unverändert?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bl>
    <w:p>
      <w:pPr>
        <w:pStyle w:val="Normal"/>
        <w:rPr/>
      </w:pPr>
      <w:r>
        <w:rPr/>
      </w:r>
    </w:p>
    <w:p>
      <w:pPr>
        <w:pStyle w:val="Normal"/>
        <w:spacing w:before="240" w:after="80"/>
        <w:rPr/>
      </w:pPr>
      <w:r>
        <w:rPr>
          <w:rFonts w:eastAsia="Calibri"/>
          <w:b/>
          <w:i w:val="false"/>
          <w:color w:val="1B2A4A"/>
          <w:sz w:val="26"/>
        </w:rPr>
        <w:t>E.3  Erfolgscheck nach einer Gewinnserie</w:t>
      </w:r>
    </w:p>
    <w:p>
      <w:pPr>
        <w:pStyle w:val="Normal"/>
        <w:spacing w:before="200" w:after="120"/>
        <w:rPr/>
      </w:pPr>
      <w:r>
        <w:rPr>
          <w:rFonts w:eastAsia="Calibri"/>
          <w:b w:val="false"/>
          <w:i w:val="false"/>
          <w:color w:val="4A5568"/>
          <w:sz w:val="21"/>
        </w:rPr>
        <w:t>Eine Gewinnserie verdient dieselbe Prozessprüfung wie eine Verlustserie. Sie kann aus guter Ausführung, einem günstigen Marktumfeld, Zufall oder einer Kombination dieser Faktoren entstehen. Zu Kapitel 9.5.</w:t>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Zeitraum der Serie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Zahl der berücksichtigten Entscheidungen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Finanzielles Ergebnis</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Gewinne aus vollständig regelkonformen Entscheidungen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Gewinne mit Regelverletzungen oder schwächeren Setups</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Gemeinsame Marktbedingungen mehrerer Ergebnisse</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Zahl tatsächlich unabhängiger Belege</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Wurden Position, Hebel oder Exposition erhöht?</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Sind Drawdown-, Reduktions- oder Pausenregeln unverändert?</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Würde dieselbe Regeländerung auch nach einer Verlustserie erfolgen?</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Welche Beobachtung spräche gegen gestiegene Kompetenz?</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br/>
              <w:t>______________________________________________</w:t>
            </w:r>
          </w:p>
        </w:tc>
      </w:tr>
    </w:tbl>
    <w:p>
      <w:pPr>
        <w:pStyle w:val="Normal"/>
        <w:rPr/>
      </w:pPr>
      <w:r>
        <w:rPr/>
      </w:r>
    </w:p>
    <w:p>
      <w:pPr>
        <w:pStyle w:val="Normal"/>
        <w:rPr/>
      </w:pPr>
      <w:r>
        <w:rPr>
          <w:rFonts w:eastAsia="Calibri"/>
          <w:b w:val="false"/>
          <w:i w:val="false"/>
          <w:color w:val="1A1A1A"/>
          <w:sz w:val="21"/>
        </w:rPr>
        <w:t>Ergebnis des Erfolgschecks</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9866"/>
      </w:tblGrid>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Der bestehende Plan bleibt unverändert</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 weitere Beobachtungsphase ist erforderlich</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Eine begrenzte Änderung wird nach dem Änderungsprotokoll geprüft</w:t>
            </w:r>
          </w:p>
        </w:tc>
      </w:tr>
      <w:tr>
        <w:trPr/>
        <w:tc>
          <w:tcPr>
            <w:tcW w:w="9866"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Risiko oder Positionsgröße werden auf das vorherige Niveau zurückgeführt</w:t>
            </w:r>
          </w:p>
        </w:tc>
      </w:tr>
    </w:tbl>
    <w:p>
      <w:pPr>
        <w:pStyle w:val="Normal"/>
        <w:rPr/>
      </w:pPr>
      <w:r>
        <w:rPr/>
      </w:r>
    </w:p>
    <w:p>
      <w:pPr>
        <w:pStyle w:val="Normal"/>
        <w:spacing w:before="240" w:after="80"/>
        <w:rPr/>
      </w:pPr>
      <w:r>
        <w:rPr>
          <w:rFonts w:eastAsia="Calibri"/>
          <w:b/>
          <w:i w:val="false"/>
          <w:color w:val="1B2A4A"/>
          <w:sz w:val="26"/>
        </w:rPr>
        <w:t>Abschlusskontrolle</w:t>
      </w:r>
    </w:p>
    <w:tbl>
      <w:tblPr>
        <w:tblW w:w="9866" w:type="dxa"/>
        <w:jc w:val="start"/>
        <w:tblInd w:w="53" w:type="dxa"/>
        <w:tblLayout w:type="fixed"/>
        <w:tblCellMar>
          <w:top w:w="40" w:type="dxa"/>
          <w:start w:w="60" w:type="dxa"/>
          <w:bottom w:w="40" w:type="dxa"/>
          <w:end w:w="40" w:type="dxa"/>
        </w:tblCellMar>
        <w:tblLook w:val="04a0" w:firstRow="1" w:noVBand="1" w:lastRow="0" w:firstColumn="1" w:lastColumn="0" w:noHBand="0"/>
      </w:tblPr>
      <w:tblGrid>
        <w:gridCol w:w="4933"/>
        <w:gridCol w:w="4933"/>
      </w:tblGrid>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Eintrag vor dem Ausgang begonnen</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Investment und Trade nicht vermischt</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Risiko vor der Ausführung bestimmt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Während-der-Position nur bei Anlass ausgefüllt</w:t>
            </w:r>
          </w:p>
        </w:tc>
      </w:tr>
      <w:tr>
        <w:trPr/>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Ergebnis und Prozessqualität getrennt bewertet</w:t>
            </w:r>
          </w:p>
        </w:tc>
        <w:tc>
          <w:tcPr>
            <w:tcW w:w="4933" w:type="dxa"/>
            <w:tcBorders>
              <w:top w:val="single" w:sz="6" w:space="0" w:color="FFFFFF"/>
              <w:start w:val="single" w:sz="6" w:space="0" w:color="FFFFFF"/>
              <w:bottom w:val="single" w:sz="6" w:space="0" w:color="FFFFFF"/>
              <w:end w:val="single" w:sz="6" w:space="0" w:color="FFFFFF"/>
            </w:tcBorders>
          </w:tcPr>
          <w:p>
            <w:pPr>
              <w:pStyle w:val="Normal"/>
              <w:widowControl/>
              <w:bidi w:val="0"/>
              <w:spacing w:lineRule="auto" w:line="259" w:before="0" w:after="80"/>
              <w:jc w:val="start"/>
              <w:rPr/>
            </w:pPr>
            <w:r>
              <w:rPr>
                <w:rFonts w:eastAsia="Calibri"/>
                <w:b w:val="false"/>
                <w:i w:val="false"/>
                <w:sz w:val="21"/>
              </w:rPr>
              <w:t xml:space="preserve">☐  </w:t>
            </w:r>
            <w:r>
              <w:rPr>
                <w:rFonts w:eastAsia="Calibri"/>
                <w:b w:val="false"/>
                <w:i w:val="false"/>
                <w:sz w:val="21"/>
              </w:rPr>
              <w:t>Lehre unabhängig vom Gewinn oder Verlust notiert</w:t>
            </w:r>
          </w:p>
        </w:tc>
      </w:tr>
    </w:tbl>
    <w:p>
      <w:pPr>
        <w:pStyle w:val="Normal"/>
        <w:rPr/>
      </w:pPr>
      <w:r>
        <w:rPr/>
      </w:r>
    </w:p>
    <w:tbl>
      <w:tblPr>
        <w:tblW w:w="9865" w:type="dxa"/>
        <w:jc w:val="start"/>
        <w:tblInd w:w="75" w:type="dxa"/>
        <w:tblLayout w:type="fixed"/>
        <w:tblCellMar>
          <w:top w:w="55" w:type="dxa"/>
          <w:start w:w="80" w:type="dxa"/>
          <w:bottom w:w="55" w:type="dxa"/>
          <w:end w:w="70" w:type="dxa"/>
        </w:tblCellMar>
        <w:tblLook w:val="04a0" w:firstRow="1" w:noVBand="1" w:lastRow="0" w:firstColumn="1" w:lastColumn="0" w:noHBand="0"/>
      </w:tblPr>
      <w:tblGrid>
        <w:gridCol w:w="3514"/>
        <w:gridCol w:w="6351"/>
      </w:tblGrid>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Gesamtstatus</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Verweis auf Planversion aus Anhang D</w:t>
            </w:r>
          </w:p>
        </w:tc>
        <w:tc>
          <w:tcPr>
            <w:tcW w:w="6351" w:type="dxa"/>
            <w:tcBorders>
              <w:top w:val="single" w:sz="4" w:space="0" w:color="C5CDD6"/>
              <w:start w:val="single" w:sz="4" w:space="0" w:color="C5CDD6"/>
              <w:bottom w:val="single" w:sz="4" w:space="0" w:color="C5CDD6"/>
              <w:end w:val="single" w:sz="4" w:space="0" w:color="C5CDD6"/>
            </w:tcBorders>
            <w:shd w:fill="FFFFFF"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r>
        <w:trPr>
          <w:cantSplit/>
        </w:trPr>
        <w:tc>
          <w:tcPr>
            <w:tcW w:w="3514" w:type="dxa"/>
            <w:tcBorders>
              <w:top w:val="single" w:sz="4" w:space="0" w:color="C5CDD6"/>
              <w:start w:val="single" w:sz="4" w:space="0" w:color="C5CDD6"/>
              <w:bottom w:val="single" w:sz="4" w:space="0" w:color="C5CDD6"/>
              <w:end w:val="single" w:sz="4" w:space="0" w:color="C5CDD6"/>
            </w:tcBorders>
            <w:shd w:fill="E8EEF4" w:val="clear"/>
          </w:tcPr>
          <w:p>
            <w:pPr>
              <w:pStyle w:val="Normal"/>
              <w:widowControl/>
              <w:bidi w:val="0"/>
              <w:spacing w:lineRule="auto" w:line="259" w:before="0" w:after="80"/>
              <w:jc w:val="start"/>
              <w:rPr/>
            </w:pPr>
            <w:r>
              <w:rPr>
                <w:rFonts w:eastAsia="Calibri"/>
                <w:b/>
                <w:i w:val="false"/>
                <w:color w:val="1B2A4A"/>
                <w:sz w:val="21"/>
              </w:rPr>
              <w:t>Bearbeitet am / durch</w:t>
            </w:r>
          </w:p>
        </w:tc>
        <w:tc>
          <w:tcPr>
            <w:tcW w:w="6351" w:type="dxa"/>
            <w:tcBorders>
              <w:top w:val="single" w:sz="4" w:space="0" w:color="C5CDD6"/>
              <w:start w:val="single" w:sz="4" w:space="0" w:color="C5CDD6"/>
              <w:bottom w:val="single" w:sz="4" w:space="0" w:color="C5CDD6"/>
              <w:end w:val="single" w:sz="4" w:space="0" w:color="C5CDD6"/>
            </w:tcBorders>
            <w:shd w:fill="F7F8FA" w:val="clear"/>
          </w:tcPr>
          <w:p>
            <w:pPr>
              <w:pStyle w:val="Normal"/>
              <w:widowControl/>
              <w:bidi w:val="0"/>
              <w:spacing w:lineRule="auto" w:line="259" w:before="0" w:after="80"/>
              <w:jc w:val="start"/>
              <w:rPr/>
            </w:pPr>
            <w:r>
              <w:rPr>
                <w:rFonts w:eastAsia="Calibri"/>
                <w:b w:val="false"/>
                <w:i w:val="false"/>
                <w:color w:val="4A5568"/>
                <w:sz w:val="20"/>
              </w:rPr>
              <w:t>______________________________________________</w:t>
            </w:r>
          </w:p>
        </w:tc>
      </w:tr>
    </w:tbl>
    <w:p>
      <w:pPr>
        <w:pStyle w:val="Normal"/>
        <w:widowControl/>
        <w:bidi w:val="0"/>
        <w:spacing w:lineRule="auto" w:line="259" w:before="0" w:after="80"/>
        <w:jc w:val="start"/>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020" w:right="1020" w:gutter="0" w:header="397" w:top="907" w:footer="397" w:bottom="1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eastAsia="Calibri"/>
        <w:b w:val="false"/>
        <w:i w:val="false"/>
        <w:color w:val="4A5568"/>
        <w:sz w:val="18"/>
      </w:rPr>
      <w:t xml:space="preserve">Anhang E  ·  Keine Anlageberatung  ·  Seite </w:t>
    </w:r>
    <w:r>
      <w:rPr/>
      <w:fldChar w:fldCharType="begin"/>
    </w:r>
    <w:r>
      <w:rPr/>
      <w:instrText xml:space="preserve"> PAGE </w:instrText>
    </w:r>
    <w:r>
      <w:rPr/>
      <w:fldChar w:fldCharType="separate"/>
    </w:r>
    <w:r>
      <w:rPr/>
      <w:t>7</w:t>
    </w:r>
    <w:r>
      <w:rPr/>
      <w:fldChar w:fldCharType="end"/>
    </w:r>
    <w:r>
      <w:rPr>
        <w:rFonts w:eastAsia="Calibri"/>
        <w:b w:val="false"/>
        <w:i w:val="false"/>
        <w:color w:val="4A5568"/>
        <w:sz w:val="18"/>
      </w:rPr>
      <w:t xml:space="preserve">  ·  Keine Renditegarantie</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eastAsia="Calibri"/>
        <w:b w:val="false"/>
        <w:i w:val="false"/>
        <w:color w:val="4A5568"/>
        <w:sz w:val="18"/>
      </w:rPr>
      <w:t xml:space="preserve">Anhang E  ·  Keine Anlageberatung  ·  Seite </w:t>
    </w:r>
    <w:r>
      <w:rPr/>
      <w:fldChar w:fldCharType="begin"/>
    </w:r>
    <w:r>
      <w:rPr/>
      <w:instrText xml:space="preserve"> PAGE </w:instrText>
    </w:r>
    <w:r>
      <w:rPr/>
      <w:fldChar w:fldCharType="separate"/>
    </w:r>
    <w:r>
      <w:rPr/>
      <w:t>7</w:t>
    </w:r>
    <w:r>
      <w:rPr/>
      <w:fldChar w:fldCharType="end"/>
    </w:r>
    <w:r>
      <w:rPr>
        <w:rFonts w:eastAsia="Calibri"/>
        <w:b w:val="false"/>
        <w:i w:val="false"/>
        <w:color w:val="4A5568"/>
        <w:sz w:val="18"/>
      </w:rPr>
      <w:t xml:space="preserve">  ·  Keine Renditegarantie</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Fonts w:eastAsia="Calibri"/>
        <w:b w:val="false"/>
        <w:i w:val="false"/>
        <w:color w:val="4A5568"/>
        <w:sz w:val="18"/>
      </w:rPr>
      <w:t>Kapital und Kopf  ·  Arbeitsblatt  ·  Stand 2026</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Fonts w:eastAsia="Calibri"/>
        <w:b w:val="false"/>
        <w:i w:val="false"/>
        <w:color w:val="4A5568"/>
        <w:sz w:val="18"/>
      </w:rPr>
      <w:t>Kapital und Kopf  ·  Arbeitsblatt  ·  Stand 2026</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bidi w:val="0"/>
      <w:spacing w:lineRule="auto" w:line="259" w:before="0" w:after="80"/>
      <w:jc w:val="start"/>
    </w:pPr>
    <w:rPr>
      <w:rFonts w:ascii="Calibri" w:hAnsi="Calibri" w:eastAsia="ＭＳ 明朝" w:cs=""/>
      <w:color w:val="1A1A1A"/>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ＭＳ ゴシック"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ＭＳ ゴシック"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uiPriority w:val="99"/>
    <w:qFormat/>
    <w:rsid w:val="00e618bf"/>
    <w:rPr/>
  </w:style>
  <w:style w:type="character" w:styleId="FooterChar" w:customStyle="1">
    <w:name w:val="Footer Char"/>
    <w:basedOn w:val="DefaultParagraphFont"/>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uiPriority w:val="9"/>
    <w:qFormat/>
    <w:rsid w:val="00fc693f"/>
    <w:rPr>
      <w:rFonts w:ascii="Calibri" w:hAnsi="Calibri" w:eastAsia="ＭＳ ゴシック" w:cs="" w:asciiTheme="majorHAnsi" w:cstheme="majorBidi" w:eastAsiaTheme="majorEastAsia" w:hAnsiTheme="majorHAnsi"/>
      <w:b/>
      <w:bCs/>
      <w:color w:themeColor="accent1" w:val="4F81BD"/>
    </w:rPr>
  </w:style>
  <w:style w:type="character" w:styleId="TitleChar" w:customStyle="1">
    <w:name w:val="Title Char"/>
    <w:basedOn w:val="DefaultParagraphFont"/>
    <w:uiPriority w:val="10"/>
    <w:qFormat/>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uiPriority w:val="11"/>
    <w:qFormat/>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uiPriority w:val="9"/>
    <w:semiHidden/>
    <w:qFormat/>
    <w:rsid w:val="00fc693f"/>
    <w:rPr>
      <w:rFonts w:ascii="Calibri" w:hAnsi="Calibri" w:eastAsia="ＭＳ ゴシック" w:cs="" w:asciiTheme="majorHAnsi" w:cstheme="majorBidi" w:eastAsiaTheme="majorEastAsia" w:hAnsiTheme="majorHAnsi"/>
      <w:b/>
      <w:bCs/>
      <w:i/>
      <w:iCs/>
      <w:color w:themeColor="accent1" w:val="4F81BD"/>
    </w:rPr>
  </w:style>
  <w:style w:type="character" w:styleId="Heading5Char" w:customStyle="1">
    <w:name w:val="Heading 5 Char"/>
    <w:basedOn w:val="DefaultParagraphFont"/>
    <w:uiPriority w:val="9"/>
    <w:semiHidden/>
    <w:qFormat/>
    <w:rsid w:val="00fc693f"/>
    <w:rPr>
      <w:rFonts w:ascii="Calibri" w:hAnsi="Calibri" w:eastAsia="ＭＳ ゴシック" w:cs="" w:asciiTheme="majorHAnsi" w:cstheme="majorBidi" w:eastAsiaTheme="majorEastAsia" w:hAnsiTheme="majorHAnsi"/>
      <w:color w:themeColor="accent1" w:themeShade="7f" w:val="243F60"/>
    </w:rPr>
  </w:style>
  <w:style w:type="character" w:styleId="Heading6Char" w:customStyle="1">
    <w:name w:val="Heading 6 Ch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uiPriority w:val="9"/>
    <w:semiHidden/>
    <w:qFormat/>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berschrift">
    <w:name w:val="Überschrift"/>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8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Verzeichnis">
    <w:name w:val="Verzeichnis"/>
    <w:basedOn w:val="Normal"/>
    <w:qFormat/>
    <w:pPr>
      <w:suppressLineNumbers/>
    </w:pPr>
    <w:rPr>
      <w:rFonts w:cs="Lucida Sans"/>
    </w:rPr>
  </w:style>
  <w:style w:type="paragraph" w:styleId="Kopf-Fuzeile">
    <w:name w:val="Kopf-/Fußzeile"/>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0" w:after="300"/>
      <w:contextualSpacing/>
    </w:pPr>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8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80"/>
      <w:ind w:hanging="360" w:start="720"/>
      <w:contextualSpacing/>
    </w:pPr>
    <w:rPr/>
  </w:style>
  <w:style w:type="paragraph" w:styleId="List3">
    <w:name w:val="List 3"/>
    <w:basedOn w:val="Normal"/>
    <w:uiPriority w:val="99"/>
    <w:unhideWhenUsed/>
    <w:qFormat/>
    <w:rsid w:val="00326f90"/>
    <w:pPr>
      <w:spacing w:before="0" w:after="80"/>
      <w:ind w:hanging="360" w:start="1080"/>
      <w:contextualSpacing/>
    </w:pPr>
    <w:rPr/>
  </w:style>
  <w:style w:type="paragraph" w:styleId="ListBullet">
    <w:name w:val="List Bullet"/>
    <w:basedOn w:val="Normal"/>
    <w:uiPriority w:val="99"/>
    <w:unhideWhenUsed/>
    <w:rsid w:val="00326f90"/>
    <w:pPr>
      <w:numPr>
        <w:ilvl w:val="0"/>
        <w:numId w:val="1"/>
      </w:numPr>
      <w:spacing w:before="0" w:after="80"/>
      <w:contextualSpacing/>
    </w:pPr>
    <w:rPr/>
  </w:style>
  <w:style w:type="paragraph" w:styleId="ListBullet2">
    <w:name w:val="List Bullet 2"/>
    <w:basedOn w:val="Normal"/>
    <w:uiPriority w:val="99"/>
    <w:unhideWhenUsed/>
    <w:rsid w:val="00326f90"/>
    <w:pPr>
      <w:numPr>
        <w:ilvl w:val="0"/>
        <w:numId w:val="2"/>
      </w:numPr>
      <w:spacing w:before="0" w:after="80"/>
      <w:contextualSpacing/>
    </w:pPr>
    <w:rPr/>
  </w:style>
  <w:style w:type="paragraph" w:styleId="ListBullet3">
    <w:name w:val="List Bullet 3"/>
    <w:basedOn w:val="Normal"/>
    <w:uiPriority w:val="99"/>
    <w:unhideWhenUsed/>
    <w:rsid w:val="00326f90"/>
    <w:pPr>
      <w:numPr>
        <w:ilvl w:val="0"/>
        <w:numId w:val="3"/>
      </w:numPr>
      <w:spacing w:before="0" w:after="80"/>
      <w:contextualSpacing/>
    </w:pPr>
    <w:rPr/>
  </w:style>
  <w:style w:type="paragraph" w:styleId="ListNumber">
    <w:name w:val="List Number"/>
    <w:basedOn w:val="Normal"/>
    <w:uiPriority w:val="99"/>
    <w:unhideWhenUsed/>
    <w:rsid w:val="00326f90"/>
    <w:pPr>
      <w:numPr>
        <w:ilvl w:val="0"/>
        <w:numId w:val="4"/>
      </w:numPr>
      <w:spacing w:before="0" w:after="80"/>
      <w:contextualSpacing/>
    </w:pPr>
    <w:rPr/>
  </w:style>
  <w:style w:type="paragraph" w:styleId="ListNumber2">
    <w:name w:val="List Number 2"/>
    <w:basedOn w:val="Normal"/>
    <w:uiPriority w:val="99"/>
    <w:unhideWhenUsed/>
    <w:rsid w:val="0029639d"/>
    <w:pPr>
      <w:numPr>
        <w:ilvl w:val="0"/>
        <w:numId w:val="5"/>
      </w:numPr>
      <w:spacing w:before="0" w:after="80"/>
      <w:contextualSpacing/>
    </w:pPr>
    <w:rPr/>
  </w:style>
  <w:style w:type="paragraph" w:styleId="ListNumber3">
    <w:name w:val="List Number 3"/>
    <w:basedOn w:val="Normal"/>
    <w:uiPriority w:val="99"/>
    <w:unhideWhenUsed/>
    <w:rsid w:val="0029639d"/>
    <w:pPr>
      <w:numPr>
        <w:ilvl w:val="0"/>
        <w:numId w:val="6"/>
      </w:numPr>
      <w:spacing w:before="0" w:after="8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berschrift"/>
    <w:pPr/>
    <w:rPr/>
  </w:style>
  <w:style w:type="paragraph" w:styleId="TOCHeading">
    <w:name w:val="TOC Heading"/>
    <w:basedOn w:val="Heading1"/>
    <w:next w:val="Normal"/>
    <w:uiPriority w:val="39"/>
    <w:semiHidden/>
    <w:unhideWhenUsed/>
    <w:qFormat/>
    <w:rsid w:val="00fc693f"/>
    <w:pPr>
      <w:outlineLvl w:val="9"/>
    </w:pPr>
    <w:rPr/>
  </w:style>
  <w:style w:type="numbering" w:styleId="KeineListe" w:default="1">
    <w:name w:val="Keine Liste"/>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ns0:Properties xmlns:ns0="http://schemas.openxmlformats.org/officeDocument/2006/extended-properties">
  <ns0:Template>Normal.dotm</ns0:Template>
  <ns0:TotalTime>2</ns0:TotalTime>
  <ns0:Application>LibreOffice/26.2.5.2$Windows_X86_64 LibreOffice_project/cd7284b4cbbfeb507e630c1aac019f4157393acb</ns0:Application>
  <ns0:AppVersion>15.0000</ns0:AppVersion>
  <ns0:Pages>7</ns0:Pages>
  <ns0:Words>882</ns0:Words>
  <ns0:Characters>7968</ns0:Characters>
  <ns0:CharactersWithSpaces>8731</ns0:CharactersWithSpaces>
  <ns0:Paragraphs>202</ns0:Paragraphs>
  <ns0:Company>Nexaplex</ns0:Company>
  <ns0:Manager>Michael Schütz</ns0:Manager>
</ns0: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2026-09-01T00:00:00Z</dcterms:created>
  <dc:creator>Michael Schütz</dc:creator>
  <dc:description>Arbeitsblatt zum Buch. Keine Anlageberatung. © 2026 Michael Schütz. Alle Rechte vorbehalten.</dc:description>
  <dc:language>de-DE</dc:language>
  <cp:lastModifiedBy>Michael Schütz</cp:lastModifiedBy>
  <dcterms:modified xsi:type="dcterms:W3CDTF">2026-09-13T12:11:19Z</dcterms:modified>
  <cp:revision>3</cp:revision>
  <dc:subject>Kapital und Kopf · Entscheidungen</dc:subject>
  <dc:title>Anhang E — Entscheidungsjournal</dc:title>
  <cp:keywords>Kapital und Kopf, Entscheidungsplan, Journal, Nexaplex</cp:keywords>
  <cp:category>Arbeitsblatt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 2026 Michael Schütz. Alle Rechte vorbehalten.</vt:lpwstr>
  </property>
  <property fmtid="{D5CDD505-2E9C-101B-9397-08002B2CF9AE}" pid="3" name="Company">
    <vt:lpwstr>Nexaplex</vt:lpwstr>
  </property>
</Properties>
</file>